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pacing w:before="0" w:after="157" w:afterLines="50" w:line="240" w:lineRule="auto"/>
        <w:jc w:val="center"/>
        <w:rPr>
          <w:color w:val="000000"/>
        </w:rPr>
      </w:pPr>
      <w:bookmarkStart w:id="0" w:name="_Toc15148"/>
      <w:bookmarkStart w:id="1" w:name="_Toc15638"/>
      <w:r>
        <w:rPr>
          <w:rFonts w:hint="eastAsia"/>
          <w:color w:val="000000"/>
        </w:rPr>
        <w:t>广东科学技术职业学院学生奖励评审办法</w:t>
      </w:r>
      <w:bookmarkEnd w:id="0"/>
      <w:bookmarkEnd w:id="1"/>
    </w:p>
    <w:p>
      <w:pPr>
        <w:pageBreakBefore w:val="0"/>
        <w:kinsoku/>
        <w:wordWrap/>
        <w:overflowPunct/>
        <w:topLinePunct w:val="0"/>
        <w:bidi w:val="0"/>
        <w:spacing w:line="360" w:lineRule="auto"/>
        <w:jc w:val="center"/>
        <w:textAlignment w:val="auto"/>
        <w:rPr>
          <w:rFonts w:hint="default" w:ascii="微软雅黑" w:hAnsi="微软雅黑" w:eastAsia="微软雅黑" w:cs="微软雅黑"/>
          <w:color w:val="000000"/>
          <w:sz w:val="24"/>
          <w:lang w:val="en-US"/>
        </w:rPr>
      </w:pPr>
      <w:r>
        <w:rPr>
          <w:rFonts w:hint="eastAsia" w:ascii="微软雅黑" w:hAnsi="微软雅黑" w:eastAsia="微软雅黑" w:cs="微软雅黑"/>
          <w:color w:val="000000"/>
          <w:sz w:val="24"/>
        </w:rPr>
        <w:t>粤科职院院字〔202</w:t>
      </w:r>
      <w:r>
        <w:rPr>
          <w:rFonts w:hint="eastAsia" w:ascii="微软雅黑" w:hAnsi="微软雅黑" w:eastAsia="微软雅黑" w:cs="微软雅黑"/>
          <w:color w:val="000000"/>
          <w:sz w:val="24"/>
          <w:lang w:val="en-US" w:eastAsia="zh-CN"/>
        </w:rPr>
        <w:t>2</w:t>
      </w:r>
      <w:r>
        <w:rPr>
          <w:rFonts w:hint="eastAsia" w:ascii="微软雅黑" w:hAnsi="微软雅黑" w:eastAsia="微软雅黑" w:cs="微软雅黑"/>
          <w:color w:val="000000"/>
          <w:sz w:val="24"/>
        </w:rPr>
        <w:t>〕</w:t>
      </w:r>
      <w:r>
        <w:rPr>
          <w:rFonts w:hint="eastAsia" w:ascii="微软雅黑" w:hAnsi="微软雅黑" w:eastAsia="微软雅黑" w:cs="微软雅黑"/>
          <w:color w:val="000000"/>
          <w:sz w:val="24"/>
          <w:lang w:val="en-US" w:eastAsia="zh-CN"/>
        </w:rPr>
        <w:t>190号</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第一章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总  则</w:t>
      </w:r>
    </w:p>
    <w:p>
      <w:pPr>
        <w:spacing w:line="360" w:lineRule="auto"/>
        <w:ind w:firstLine="561" w:firstLineChars="200"/>
        <w:rPr>
          <w:rFonts w:hint="eastAsia" w:ascii="宋体" w:hAnsi="宋体" w:eastAsia="宋体" w:cs="宋体"/>
          <w:color w:val="000000"/>
          <w:sz w:val="28"/>
          <w:szCs w:val="28"/>
        </w:rPr>
      </w:pPr>
      <w:r>
        <w:rPr>
          <w:rFonts w:hint="eastAsia" w:ascii="Times New Roman" w:hAnsi="Times New Roman" w:eastAsia="宋体" w:cs="Times New Roman"/>
          <w:b/>
          <w:bCs/>
          <w:color w:val="000000"/>
          <w:sz w:val="28"/>
          <w:szCs w:val="28"/>
        </w:rPr>
        <w:t>第一条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以立德树人为根本任务，以理想信念教育为核心，培育和践行社会主义核心价值观，弘扬中华优秀传统文化和革命文化、社会主义先进文化，培养学生的社会责任感、创新精神和实践能力；坚持依法治校，科学管理，健全和完善管理制度，规范管理行为，将管理与育人相结合，不断提高管理和服务水平；鼓励广大学生全面发展、奋发成才，结合我校实际情况，制定本办法。</w:t>
      </w:r>
    </w:p>
    <w:p>
      <w:pPr>
        <w:spacing w:line="360" w:lineRule="auto"/>
        <w:ind w:firstLine="561" w:firstLineChars="200"/>
        <w:rPr>
          <w:rFonts w:hint="eastAsia" w:ascii="宋体" w:hAnsi="宋体" w:eastAsia="宋体" w:cs="宋体"/>
          <w:color w:val="000000"/>
          <w:sz w:val="28"/>
          <w:szCs w:val="28"/>
        </w:rPr>
      </w:pPr>
      <w:r>
        <w:rPr>
          <w:rFonts w:hint="eastAsia" w:ascii="Times New Roman" w:hAnsi="Times New Roman" w:eastAsia="宋体" w:cs="Times New Roman"/>
          <w:b/>
          <w:bCs/>
          <w:color w:val="000000"/>
          <w:sz w:val="28"/>
          <w:szCs w:val="28"/>
        </w:rPr>
        <w:t>第二条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《广东科学技术职业学院学生综合素质测评办法》和《广东科学技术职业学院学生素质提升实施办法》是评定优秀学生奖励的基本依据。</w:t>
      </w:r>
    </w:p>
    <w:p>
      <w:pPr>
        <w:spacing w:line="360" w:lineRule="auto"/>
        <w:ind w:firstLine="561" w:firstLineChars="200"/>
        <w:rPr>
          <w:rFonts w:hint="eastAsia" w:ascii="宋体" w:hAnsi="宋体" w:eastAsia="宋体" w:cs="宋体"/>
          <w:color w:val="000000"/>
          <w:sz w:val="28"/>
          <w:szCs w:val="28"/>
        </w:rPr>
      </w:pPr>
      <w:r>
        <w:rPr>
          <w:rFonts w:hint="eastAsia" w:ascii="Times New Roman" w:hAnsi="Times New Roman" w:eastAsia="宋体" w:cs="Times New Roman"/>
          <w:b/>
          <w:bCs/>
          <w:color w:val="000000"/>
          <w:sz w:val="28"/>
          <w:szCs w:val="28"/>
        </w:rPr>
        <w:t>第三条</w:t>
      </w:r>
      <w:r>
        <w:rPr>
          <w:rFonts w:hint="eastAsia" w:ascii="Times New Roman" w:hAnsi="Times New Roman" w:cs="Times New Roman"/>
          <w:b/>
          <w:bCs/>
          <w:color w:val="000000"/>
          <w:sz w:val="28"/>
          <w:szCs w:val="28"/>
          <w:lang w:val="en-US" w:eastAsia="zh-CN"/>
        </w:rPr>
        <w:t xml:space="preserve"> </w:t>
      </w:r>
      <w:r>
        <w:rPr>
          <w:rFonts w:hint="eastAsia" w:ascii="宋体" w:hAnsi="宋体" w:eastAsia="宋体" w:cs="宋体"/>
          <w:color w:val="000000"/>
          <w:sz w:val="28"/>
          <w:szCs w:val="28"/>
        </w:rPr>
        <w:t>本办法适用于我校在籍并按期注册的国家计划内的二、三年级学生。</w:t>
      </w:r>
    </w:p>
    <w:p>
      <w:pPr>
        <w:pageBreakBefore w:val="0"/>
        <w:kinsoku/>
        <w:wordWrap/>
        <w:overflowPunct/>
        <w:topLinePunct w:val="0"/>
        <w:bidi w:val="0"/>
        <w:spacing w:line="360" w:lineRule="auto"/>
        <w:ind w:firstLine="0" w:firstLineChars="0"/>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第二章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奖励设置与基本条件</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b/>
          <w:bCs/>
          <w:color w:val="000000"/>
          <w:sz w:val="28"/>
          <w:szCs w:val="28"/>
        </w:rPr>
        <w:t>第四条</w:t>
      </w:r>
      <w:r>
        <w:rPr>
          <w:rFonts w:hint="eastAsia" w:ascii="Times New Roman" w:hAnsi="Times New Roman" w:cs="Times New Roman"/>
          <w:b/>
          <w:bCs/>
          <w:color w:val="000000"/>
          <w:sz w:val="28"/>
          <w:szCs w:val="28"/>
          <w:lang w:val="en-US" w:eastAsia="zh-CN"/>
        </w:rPr>
        <w:t xml:space="preserve"> </w:t>
      </w:r>
      <w:r>
        <w:rPr>
          <w:rFonts w:hint="eastAsia" w:ascii="Times New Roman" w:hAnsi="Times New Roman" w:eastAsia="宋体" w:cs="Times New Roman"/>
          <w:color w:val="000000"/>
          <w:sz w:val="28"/>
          <w:szCs w:val="28"/>
        </w:rPr>
        <w:t>广东科学技术职业学院学生奖励每学年评审一次，评审时间定于每年10月份，佐证材料起止时间为上一年的9月1日至当年的8月31日。</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第五条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广东科学技术职业学院学生奖励分为单项奖励、综合奖励、特别贡献奖、广科大学生年度人物。</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一）单项奖励：“学习之星”、“进取之星”、“自强之星”、“奉献之星”、“风尚之星”、“敬业之星”、“双创之星”、“科研之星”、“文体之星”、“技能之星”、“学生干部之星”、“综合素质之星”。</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Times New Roman" w:hAnsi="Times New Roman" w:eastAsia="宋体" w:cs="Times New Roman"/>
          <w:color w:val="000000"/>
          <w:sz w:val="28"/>
          <w:szCs w:val="28"/>
        </w:rPr>
        <w:t>（二）综合奖励：“广科之星”，分为</w:t>
      </w:r>
      <w:r>
        <w:rPr>
          <w:rFonts w:hint="eastAsia" w:ascii="宋体" w:hAnsi="宋体" w:eastAsia="宋体" w:cs="宋体"/>
          <w:color w:val="000000"/>
          <w:sz w:val="28"/>
          <w:szCs w:val="28"/>
        </w:rPr>
        <w:t>一等奖、二等奖和三等奖。</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（三）特别贡献奖。</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（四）广科大学生年度人物。</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第六条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奖励评定的基本条件</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（一）热爱社会主义祖国，积极要求进步，拥护中国共产党的领导。</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（二）遵守宪法和法律，遵守学校规章制度。</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（三）诚实守信，无考试舞弊。</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（四）在校期间学习勤奋，无缺考。</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（五）社会实践、创新能力等方面表现突出，学年综合素质测评成绩优秀。</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仿宋" w:hAnsi="仿宋" w:eastAsia="仿宋"/>
          <w:color w:val="000000"/>
          <w:sz w:val="28"/>
          <w:szCs w:val="28"/>
        </w:rPr>
      </w:pPr>
      <w:r>
        <w:rPr>
          <w:rFonts w:hint="eastAsia" w:ascii="Times New Roman" w:hAnsi="Times New Roman" w:eastAsia="宋体" w:cs="Times New Roman"/>
          <w:color w:val="000000"/>
          <w:sz w:val="28"/>
          <w:szCs w:val="28"/>
        </w:rPr>
        <w:t>（六）积极参加体育锻炼和健身活动，身心素质良好。</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第三章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申请与评审</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第七条</w:t>
      </w:r>
      <w:r>
        <w:rPr>
          <w:rFonts w:hint="eastAsia" w:ascii="宋体" w:hAnsi="宋体" w:cs="宋体"/>
          <w:b/>
          <w:color w:val="000000"/>
          <w:sz w:val="28"/>
          <w:szCs w:val="28"/>
          <w:lang w:val="en-US" w:eastAsia="zh-CN"/>
        </w:rPr>
        <w:t xml:space="preserve"> </w:t>
      </w:r>
      <w:r>
        <w:rPr>
          <w:rFonts w:hint="eastAsia" w:ascii="Times New Roman" w:hAnsi="Times New Roman" w:eastAsia="宋体" w:cs="Times New Roman"/>
          <w:color w:val="000000"/>
          <w:sz w:val="28"/>
          <w:szCs w:val="28"/>
        </w:rPr>
        <w:t>申请方式与评审程序</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（一）个人自荐与班主任推选相结合。由学生根据奖励名称、评定标准和基本条件自荐，班主任根据班级学生综合评奖状况进行推荐。</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（二）</w:t>
      </w:r>
      <w:bookmarkStart w:id="2" w:name="_Hlk71881681"/>
      <w:r>
        <w:rPr>
          <w:rFonts w:hint="eastAsia" w:ascii="Times New Roman" w:hAnsi="Times New Roman" w:eastAsia="宋体" w:cs="Times New Roman"/>
          <w:color w:val="000000"/>
          <w:sz w:val="28"/>
          <w:szCs w:val="28"/>
        </w:rPr>
        <w:t>学院评审工作小组</w:t>
      </w:r>
      <w:bookmarkEnd w:id="2"/>
      <w:r>
        <w:rPr>
          <w:rFonts w:hint="eastAsia" w:ascii="Times New Roman" w:hAnsi="Times New Roman" w:eastAsia="宋体" w:cs="Times New Roman"/>
          <w:color w:val="000000"/>
          <w:sz w:val="28"/>
          <w:szCs w:val="28"/>
        </w:rPr>
        <w:t>对申请学生进行评审，并将评审结果在学院进行5个工作日公示。</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（三）公示无异议后，将候选名单上报学校审批。</w:t>
      </w:r>
    </w:p>
    <w:p>
      <w:pPr>
        <w:tabs>
          <w:tab w:val="left" w:pos="2100"/>
          <w:tab w:val="left" w:pos="4200"/>
          <w:tab w:val="left" w:pos="6300"/>
        </w:tabs>
        <w:spacing w:line="360" w:lineRule="auto"/>
        <w:ind w:firstLine="560" w:firstLineChars="200"/>
        <w:rPr>
          <w:rFonts w:hint="eastAsia" w:ascii="Times New Roman" w:hAnsi="Times New Roman" w:eastAsia="宋体"/>
          <w:color w:val="000000"/>
          <w:sz w:val="28"/>
          <w:szCs w:val="28"/>
        </w:rPr>
      </w:pPr>
      <w:r>
        <w:rPr>
          <w:rFonts w:hint="eastAsia" w:ascii="Times New Roman" w:hAnsi="Times New Roman" w:eastAsia="宋体" w:cs="Times New Roman"/>
          <w:color w:val="000000"/>
          <w:sz w:val="28"/>
          <w:szCs w:val="28"/>
        </w:rPr>
        <w:t>（四）对公示结果有异议者，可在公示期内向学生资助工作领导小组提出申诉，发现违规违纪行为可向学校纪检监察处进行投诉。</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第四章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申报奖励条件</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第八条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单项奖励条件</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（一）“学习之星”：上一学年度学习成绩在班级排名前10%</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lang w:val="en-US" w:eastAsia="zh-CN"/>
        </w:rPr>
        <w:t>含</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rPr>
        <w:t>；无补考、缺考，无旷课、迟到、早退现象；按班级总人数的10%评选。</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（二）“进取之星”：上一学年度学习成绩在班级排名中第二学期比第一学期超过班级人数30%</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lang w:val="en-US" w:eastAsia="zh-CN"/>
        </w:rPr>
        <w:t>含</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rPr>
        <w:t>，且第二学期学习成绩排名在班级前40%</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lang w:val="en-US" w:eastAsia="zh-CN"/>
        </w:rPr>
        <w:t>含</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rPr>
        <w:t>，没有旷课现象和第二学期没有补考科目者；申报总人数不超过班级总人数的12%。</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（三）“自强之星”：根据《广东科学技术职业学院学生勤工助学管理办法》，获得本学年考核优秀者授予“自强之星”。</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（四）“奉献之星”：在i志愿上注册并持有志愿者证，学年志愿时不少于40小时（i志愿系统数据为准），获得校级或区级以上“优秀志愿者”称号优先，由</w:t>
      </w:r>
      <w:r>
        <w:rPr>
          <w:rFonts w:hint="eastAsia" w:ascii="Times New Roman" w:hAnsi="Times New Roman" w:eastAsia="宋体" w:cs="Times New Roman"/>
          <w:color w:val="000000"/>
          <w:sz w:val="28"/>
          <w:szCs w:val="28"/>
          <w:lang w:val="en-US" w:eastAsia="zh-CN"/>
        </w:rPr>
        <w:t>学生申报、</w:t>
      </w:r>
      <w:r>
        <w:rPr>
          <w:rFonts w:hint="eastAsia" w:ascii="Times New Roman" w:hAnsi="Times New Roman" w:eastAsia="宋体" w:cs="Times New Roman"/>
          <w:color w:val="000000"/>
          <w:sz w:val="28"/>
          <w:szCs w:val="28"/>
        </w:rPr>
        <w:t>校团委根据系统认定，评选名额为100名。</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五）“风尚之星”：具有良好的公德意识、社会责任感和个人道德修养，热心支持和参与社会、学校公益事业，在见义勇为、环保低碳、扶贫济困、尊老爱幼、同学帮扶、诚实守信等方面有突出事迹，获得有关单位部门嘉奖、感谢信、新闻媒体报道的同学可以申报。</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（六）“敬业之星”：根据《广东科学技术职业学院校内实践岗管理办法》，获得本学年考核优秀者授予“敬业之星”。</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七）“双创之星”：具有创新创业意识，积极参与创新创业类活动，在省、市级以上政府（含省、市级）及学校举办的创新创业竞赛中获得三等奖（含三等奖）以上；参加学校创新创业训练计划项目并成功结题的同学可以申报。</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（八）“科研之星”：具有创新意识，独立或参与申请专利、著作权等知识产权成果（不包括实用新型专利、外观设计专利），科研成果、学术论文获校级三等奖以上者；或在正式出版的刊物上发表论文者。</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九）“文体之星”：个人在省、市级以上文艺汇演获三等奖以上或体育竞赛中获前三名；参加省、市级以上集体项目的各类竞赛，获得三等奖以上（体育竞赛获前三名）的主力队员；在校级以上（含广东科学技术职业学院）运动会上破纪录者（在二级学院级运动会上破校级纪录并经有关主管部门或组织认可者，可获此奖项）。</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（十）“技能之星”：根据《广东科学技术职业学院专业技能竞赛管理暂行办法》，由学校实训中心认定为省级以上（含省级）专业技能竞赛获奖者可以申报。</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（十一）“学生干部之星”：担任学生干部一年以上（含一年），工作认真负责，学习成绩在班级排名前40%</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lang w:val="en-US" w:eastAsia="zh-CN"/>
        </w:rPr>
        <w:t>含</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rPr>
        <w:t>，上一学年度无考试不及格，组织或参加校级（含校级）以上各类比赛获得三等奖以上，学院学生干部按学院学生总人数的12‰评选，校级学生干部、社团学生干部按学校学生总人数的4‰评选。</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（十二）“综合素质之星”：根据《广东科学技术职业学院学生综合素质提升实施办法》，素质积分在本专业学生排名</w:t>
      </w:r>
      <w:r>
        <w:rPr>
          <w:rFonts w:hint="eastAsia" w:ascii="Times New Roman" w:hAnsi="Times New Roman" w:eastAsia="宋体" w:cs="Times New Roman"/>
          <w:color w:val="000000"/>
          <w:sz w:val="28"/>
          <w:szCs w:val="28"/>
          <w:lang w:val="en-US" w:eastAsia="zh-CN"/>
        </w:rPr>
        <w:t>前</w:t>
      </w:r>
      <w:r>
        <w:rPr>
          <w:rFonts w:hint="eastAsia" w:ascii="Times New Roman" w:hAnsi="Times New Roman" w:eastAsia="宋体" w:cs="Times New Roman"/>
          <w:color w:val="000000"/>
          <w:sz w:val="28"/>
          <w:szCs w:val="28"/>
        </w:rPr>
        <w:t>10%</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lang w:val="en-US" w:eastAsia="zh-CN"/>
        </w:rPr>
        <w:t>含</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rPr>
        <w:t>的同学可以申报。</w:t>
      </w:r>
    </w:p>
    <w:p>
      <w:pPr>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第九条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“广科之星”综合奖励条件</w:t>
      </w:r>
    </w:p>
    <w:p>
      <w:pPr>
        <w:rPr>
          <w:rFonts w:hint="eastAsia"/>
        </w:rPr>
      </w:pPr>
      <w:r>
        <w:rPr>
          <w:rFonts w:hint="eastAsia" w:ascii="Times New Roman" w:hAnsi="Times New Roman" w:eastAsia="宋体" w:cs="Times New Roman"/>
          <w:color w:val="000000"/>
          <w:sz w:val="28"/>
          <w:szCs w:val="28"/>
        </w:rPr>
        <w:br w:type="page"/>
      </w:r>
    </w:p>
    <w:tbl>
      <w:tblPr>
        <w:tblStyle w:val="6"/>
        <w:tblW w:w="9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795"/>
        <w:gridCol w:w="1210"/>
        <w:gridCol w:w="5355"/>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810"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b/>
                <w:color w:val="000000"/>
                <w:sz w:val="28"/>
                <w:szCs w:val="28"/>
              </w:rPr>
            </w:pPr>
            <w:r>
              <w:rPr>
                <w:rFonts w:hint="eastAsia" w:ascii="仿宋" w:hAnsi="仿宋" w:eastAsia="仿宋"/>
                <w:b/>
                <w:color w:val="000000"/>
                <w:sz w:val="28"/>
                <w:szCs w:val="28"/>
              </w:rPr>
              <w:t>层级</w:t>
            </w:r>
          </w:p>
        </w:tc>
        <w:tc>
          <w:tcPr>
            <w:tcW w:w="795"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b/>
                <w:color w:val="000000"/>
                <w:sz w:val="28"/>
                <w:szCs w:val="28"/>
              </w:rPr>
            </w:pPr>
            <w:r>
              <w:rPr>
                <w:rFonts w:hint="eastAsia" w:ascii="仿宋" w:hAnsi="仿宋" w:eastAsia="仿宋"/>
                <w:b/>
                <w:color w:val="000000"/>
                <w:sz w:val="28"/>
                <w:szCs w:val="28"/>
              </w:rPr>
              <w:t>名额</w:t>
            </w:r>
          </w:p>
        </w:tc>
        <w:tc>
          <w:tcPr>
            <w:tcW w:w="1210"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b/>
                <w:color w:val="000000"/>
                <w:sz w:val="28"/>
                <w:szCs w:val="28"/>
              </w:rPr>
            </w:pPr>
            <w:r>
              <w:rPr>
                <w:rFonts w:hint="eastAsia" w:ascii="仿宋" w:hAnsi="仿宋" w:eastAsia="仿宋"/>
                <w:b/>
                <w:color w:val="000000"/>
                <w:sz w:val="28"/>
                <w:szCs w:val="28"/>
              </w:rPr>
              <w:t>评奖范围</w:t>
            </w:r>
          </w:p>
        </w:tc>
        <w:tc>
          <w:tcPr>
            <w:tcW w:w="5355"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b/>
                <w:color w:val="000000"/>
                <w:sz w:val="28"/>
                <w:szCs w:val="28"/>
              </w:rPr>
            </w:pPr>
            <w:r>
              <w:rPr>
                <w:rFonts w:hint="eastAsia" w:ascii="仿宋" w:hAnsi="仿宋" w:eastAsia="仿宋"/>
                <w:b/>
                <w:color w:val="000000"/>
                <w:sz w:val="28"/>
                <w:szCs w:val="28"/>
              </w:rPr>
              <w:t>评奖条件</w:t>
            </w:r>
          </w:p>
        </w:tc>
        <w:tc>
          <w:tcPr>
            <w:tcW w:w="923"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b/>
                <w:color w:val="000000"/>
                <w:sz w:val="28"/>
                <w:szCs w:val="28"/>
              </w:rPr>
            </w:pPr>
            <w:r>
              <w:rPr>
                <w:rFonts w:hint="eastAsia" w:ascii="仿宋" w:hAnsi="仿宋" w:eastAsia="仿宋"/>
                <w:b/>
                <w:color w:val="00000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0"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一</w:t>
            </w:r>
          </w:p>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等</w:t>
            </w:r>
          </w:p>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奖</w:t>
            </w:r>
          </w:p>
        </w:tc>
        <w:tc>
          <w:tcPr>
            <w:tcW w:w="795"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30名</w:t>
            </w:r>
          </w:p>
        </w:tc>
        <w:tc>
          <w:tcPr>
            <w:tcW w:w="1210" w:type="dxa"/>
            <w:vMerge w:val="restart"/>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全校</w:t>
            </w:r>
          </w:p>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二、三年级学生参评</w:t>
            </w:r>
          </w:p>
        </w:tc>
        <w:tc>
          <w:tcPr>
            <w:tcW w:w="5355" w:type="dxa"/>
            <w:noWrap w:val="0"/>
            <w:vAlign w:val="center"/>
          </w:tcPr>
          <w:p>
            <w:pPr>
              <w:keepNext w:val="0"/>
              <w:keepLines w:val="0"/>
              <w:suppressLineNumbers w:val="0"/>
              <w:spacing w:before="0" w:beforeAutospacing="0" w:after="0" w:afterAutospacing="0" w:line="240" w:lineRule="auto"/>
              <w:ind w:left="0" w:right="0" w:firstLine="560" w:firstLineChars="200"/>
              <w:rPr>
                <w:rFonts w:hint="default" w:ascii="仿宋" w:hAnsi="仿宋" w:eastAsia="仿宋"/>
                <w:color w:val="000000"/>
                <w:sz w:val="28"/>
                <w:szCs w:val="28"/>
              </w:rPr>
            </w:pPr>
            <w:r>
              <w:rPr>
                <w:rFonts w:hint="eastAsia" w:ascii="仿宋" w:hAnsi="仿宋" w:eastAsia="仿宋"/>
                <w:color w:val="000000"/>
                <w:sz w:val="28"/>
                <w:szCs w:val="28"/>
              </w:rPr>
              <w:t>表现优秀，学年综合测评成绩位列学院年级排名前</w:t>
            </w:r>
            <w:r>
              <w:rPr>
                <w:rFonts w:hint="default" w:ascii="仿宋" w:hAnsi="仿宋" w:eastAsia="仿宋"/>
                <w:color w:val="000000"/>
                <w:sz w:val="28"/>
                <w:szCs w:val="28"/>
              </w:rPr>
              <w:t>1</w:t>
            </w:r>
            <w:r>
              <w:rPr>
                <w:rFonts w:hint="eastAsia" w:ascii="仿宋" w:hAnsi="仿宋" w:eastAsia="仿宋"/>
                <w:color w:val="000000"/>
                <w:sz w:val="28"/>
                <w:szCs w:val="28"/>
              </w:rPr>
              <w:t>0%</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含</w:t>
            </w:r>
            <w:r>
              <w:rPr>
                <w:rFonts w:hint="eastAsia" w:ascii="仿宋" w:hAnsi="仿宋" w:eastAsia="仿宋"/>
                <w:color w:val="000000"/>
                <w:sz w:val="28"/>
                <w:szCs w:val="28"/>
                <w:lang w:eastAsia="zh-CN"/>
              </w:rPr>
              <w:t>）</w:t>
            </w:r>
            <w:r>
              <w:rPr>
                <w:rFonts w:hint="eastAsia" w:ascii="仿宋" w:hAnsi="仿宋" w:eastAsia="仿宋"/>
                <w:color w:val="000000"/>
                <w:sz w:val="28"/>
                <w:szCs w:val="28"/>
              </w:rPr>
              <w:t>，或获得省级</w:t>
            </w:r>
            <w:r>
              <w:rPr>
                <w:rFonts w:hint="eastAsia" w:ascii="仿宋" w:hAnsi="仿宋" w:eastAsia="仿宋"/>
                <w:color w:val="000000"/>
                <w:sz w:val="28"/>
                <w:szCs w:val="28"/>
                <w:lang w:val="en-US" w:eastAsia="zh-CN"/>
              </w:rPr>
              <w:t>及</w:t>
            </w:r>
            <w:r>
              <w:rPr>
                <w:rFonts w:hint="eastAsia" w:ascii="仿宋" w:hAnsi="仿宋" w:eastAsia="仿宋"/>
                <w:color w:val="000000"/>
                <w:sz w:val="28"/>
                <w:szCs w:val="28"/>
              </w:rPr>
              <w:t>以上竞赛奖项（含团体奖项）且学年综合测评成绩位列学院年级排名前</w:t>
            </w:r>
            <w:r>
              <w:rPr>
                <w:rFonts w:hint="default" w:ascii="仿宋" w:hAnsi="仿宋" w:eastAsia="仿宋"/>
                <w:color w:val="000000"/>
                <w:sz w:val="28"/>
                <w:szCs w:val="28"/>
              </w:rPr>
              <w:t>20%</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含</w:t>
            </w:r>
            <w:r>
              <w:rPr>
                <w:rFonts w:hint="eastAsia" w:ascii="仿宋" w:hAnsi="仿宋" w:eastAsia="仿宋"/>
                <w:color w:val="000000"/>
                <w:sz w:val="28"/>
                <w:szCs w:val="28"/>
                <w:lang w:eastAsia="zh-CN"/>
              </w:rPr>
              <w:t>），</w:t>
            </w:r>
            <w:r>
              <w:rPr>
                <w:rFonts w:hint="eastAsia" w:ascii="仿宋" w:hAnsi="仿宋" w:eastAsia="仿宋"/>
                <w:color w:val="000000"/>
                <w:sz w:val="28"/>
                <w:szCs w:val="28"/>
              </w:rPr>
              <w:t>获得校内单项奖励</w:t>
            </w:r>
            <w:r>
              <w:rPr>
                <w:rFonts w:hint="default" w:ascii="仿宋" w:hAnsi="仿宋" w:eastAsia="仿宋"/>
                <w:color w:val="000000"/>
                <w:sz w:val="28"/>
                <w:szCs w:val="28"/>
              </w:rPr>
              <w:t>5</w:t>
            </w:r>
            <w:r>
              <w:rPr>
                <w:rFonts w:hint="eastAsia" w:ascii="仿宋" w:hAnsi="仿宋" w:eastAsia="仿宋"/>
                <w:color w:val="000000"/>
                <w:sz w:val="28"/>
                <w:szCs w:val="28"/>
              </w:rPr>
              <w:t>项。（获奖奖项相同时，按照综合测评成绩排序）</w:t>
            </w:r>
          </w:p>
        </w:tc>
        <w:tc>
          <w:tcPr>
            <w:tcW w:w="923" w:type="dxa"/>
            <w:noWrap w:val="0"/>
            <w:vAlign w:val="center"/>
          </w:tcPr>
          <w:p>
            <w:pPr>
              <w:keepNext w:val="0"/>
              <w:keepLines w:val="0"/>
              <w:suppressLineNumbers w:val="0"/>
              <w:spacing w:before="0" w:beforeAutospacing="0" w:after="0" w:afterAutospacing="0" w:line="240" w:lineRule="auto"/>
              <w:ind w:left="0" w:right="0"/>
              <w:rPr>
                <w:rFonts w:hint="default"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55" w:hRule="atLeast"/>
          <w:jc w:val="center"/>
        </w:trPr>
        <w:tc>
          <w:tcPr>
            <w:tcW w:w="810"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二</w:t>
            </w:r>
          </w:p>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等</w:t>
            </w:r>
          </w:p>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奖</w:t>
            </w:r>
          </w:p>
        </w:tc>
        <w:tc>
          <w:tcPr>
            <w:tcW w:w="795"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lang w:val="en-US" w:eastAsia="zh-CN"/>
              </w:rPr>
              <w:t>60</w:t>
            </w:r>
            <w:r>
              <w:rPr>
                <w:rFonts w:hint="eastAsia" w:ascii="仿宋" w:hAnsi="仿宋" w:eastAsia="仿宋"/>
                <w:color w:val="000000"/>
                <w:sz w:val="28"/>
                <w:szCs w:val="28"/>
              </w:rPr>
              <w:t>名</w:t>
            </w:r>
          </w:p>
        </w:tc>
        <w:tc>
          <w:tcPr>
            <w:tcW w:w="1210" w:type="dxa"/>
            <w:vMerge w:val="continue"/>
            <w:noWrap w:val="0"/>
            <w:vAlign w:val="center"/>
          </w:tcPr>
          <w:p>
            <w:pPr>
              <w:keepNext w:val="0"/>
              <w:keepLines w:val="0"/>
              <w:suppressLineNumbers w:val="0"/>
              <w:spacing w:before="0" w:beforeAutospacing="0" w:after="0" w:afterAutospacing="0" w:line="240" w:lineRule="auto"/>
              <w:ind w:left="0" w:right="0"/>
              <w:rPr>
                <w:rFonts w:hint="default" w:ascii="仿宋" w:hAnsi="仿宋" w:eastAsia="仿宋"/>
                <w:color w:val="000000"/>
                <w:sz w:val="28"/>
                <w:szCs w:val="28"/>
              </w:rPr>
            </w:pPr>
          </w:p>
        </w:tc>
        <w:tc>
          <w:tcPr>
            <w:tcW w:w="5355" w:type="dxa"/>
            <w:noWrap w:val="0"/>
            <w:vAlign w:val="center"/>
          </w:tcPr>
          <w:p>
            <w:pPr>
              <w:keepNext w:val="0"/>
              <w:keepLines w:val="0"/>
              <w:suppressLineNumbers w:val="0"/>
              <w:spacing w:before="0" w:beforeAutospacing="0" w:after="0" w:afterAutospacing="0" w:line="240" w:lineRule="auto"/>
              <w:ind w:left="0" w:right="0" w:firstLine="560" w:firstLineChars="200"/>
              <w:rPr>
                <w:rFonts w:hint="default" w:ascii="仿宋" w:hAnsi="仿宋" w:eastAsia="仿宋"/>
                <w:color w:val="000000"/>
                <w:sz w:val="28"/>
                <w:szCs w:val="28"/>
              </w:rPr>
            </w:pPr>
            <w:r>
              <w:rPr>
                <w:rFonts w:hint="eastAsia" w:ascii="仿宋" w:hAnsi="仿宋" w:eastAsia="仿宋"/>
                <w:color w:val="000000"/>
                <w:sz w:val="28"/>
                <w:szCs w:val="28"/>
              </w:rPr>
              <w:t>表现优秀，学年综合测评成绩位列学院年级排名前</w:t>
            </w:r>
            <w:r>
              <w:rPr>
                <w:rFonts w:hint="default" w:ascii="仿宋" w:hAnsi="仿宋" w:eastAsia="仿宋"/>
                <w:color w:val="000000"/>
                <w:sz w:val="28"/>
                <w:szCs w:val="28"/>
              </w:rPr>
              <w:t>15</w:t>
            </w:r>
            <w:r>
              <w:rPr>
                <w:rFonts w:hint="eastAsia" w:ascii="仿宋" w:hAnsi="仿宋" w:eastAsia="仿宋"/>
                <w:color w:val="000000"/>
                <w:sz w:val="28"/>
                <w:szCs w:val="28"/>
              </w:rPr>
              <w:t>%</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含</w:t>
            </w:r>
            <w:r>
              <w:rPr>
                <w:rFonts w:hint="eastAsia" w:ascii="仿宋" w:hAnsi="仿宋" w:eastAsia="仿宋"/>
                <w:color w:val="000000"/>
                <w:sz w:val="28"/>
                <w:szCs w:val="28"/>
                <w:lang w:eastAsia="zh-CN"/>
              </w:rPr>
              <w:t>）</w:t>
            </w:r>
            <w:r>
              <w:rPr>
                <w:rFonts w:hint="eastAsia" w:ascii="仿宋" w:hAnsi="仿宋" w:eastAsia="仿宋"/>
                <w:color w:val="000000"/>
                <w:sz w:val="28"/>
                <w:szCs w:val="28"/>
              </w:rPr>
              <w:t>，或获得省级</w:t>
            </w:r>
            <w:r>
              <w:rPr>
                <w:rFonts w:hint="eastAsia" w:ascii="仿宋" w:hAnsi="仿宋" w:eastAsia="仿宋"/>
                <w:color w:val="000000"/>
                <w:sz w:val="28"/>
                <w:szCs w:val="28"/>
                <w:lang w:val="en-US" w:eastAsia="zh-CN"/>
              </w:rPr>
              <w:t>及</w:t>
            </w:r>
            <w:r>
              <w:rPr>
                <w:rFonts w:hint="eastAsia" w:ascii="仿宋" w:hAnsi="仿宋" w:eastAsia="仿宋"/>
                <w:color w:val="000000"/>
                <w:sz w:val="28"/>
                <w:szCs w:val="28"/>
              </w:rPr>
              <w:t>以上竞赛奖项（含团体奖项）且学年综合测评成绩位列学院年级排名前</w:t>
            </w:r>
            <w:r>
              <w:rPr>
                <w:rFonts w:hint="default" w:ascii="仿宋" w:hAnsi="仿宋" w:eastAsia="仿宋"/>
                <w:color w:val="000000"/>
                <w:sz w:val="28"/>
                <w:szCs w:val="28"/>
              </w:rPr>
              <w:t>2</w:t>
            </w:r>
            <w:r>
              <w:rPr>
                <w:rFonts w:hint="eastAsia" w:ascii="仿宋" w:hAnsi="仿宋" w:eastAsia="仿宋"/>
                <w:color w:val="000000"/>
                <w:sz w:val="28"/>
                <w:szCs w:val="28"/>
              </w:rPr>
              <w:t>5%</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含</w:t>
            </w:r>
            <w:r>
              <w:rPr>
                <w:rFonts w:hint="eastAsia" w:ascii="仿宋" w:hAnsi="仿宋" w:eastAsia="仿宋"/>
                <w:color w:val="000000"/>
                <w:sz w:val="28"/>
                <w:szCs w:val="28"/>
                <w:lang w:eastAsia="zh-CN"/>
              </w:rPr>
              <w:t>）。</w:t>
            </w:r>
          </w:p>
          <w:p>
            <w:pPr>
              <w:keepNext w:val="0"/>
              <w:keepLines w:val="0"/>
              <w:suppressLineNumbers w:val="0"/>
              <w:spacing w:before="0" w:beforeAutospacing="0" w:after="0" w:afterAutospacing="0" w:line="240" w:lineRule="auto"/>
              <w:ind w:left="0" w:right="0" w:firstLine="560" w:firstLineChars="200"/>
              <w:rPr>
                <w:rFonts w:hint="default" w:ascii="仿宋" w:hAnsi="仿宋" w:eastAsia="仿宋"/>
                <w:color w:val="000000"/>
                <w:sz w:val="28"/>
                <w:szCs w:val="28"/>
              </w:rPr>
            </w:pPr>
            <w:r>
              <w:rPr>
                <w:rFonts w:hint="eastAsia" w:ascii="仿宋" w:hAnsi="仿宋" w:eastAsia="仿宋"/>
                <w:color w:val="000000"/>
                <w:sz w:val="28"/>
                <w:szCs w:val="28"/>
              </w:rPr>
              <w:t>获得校内单项奖励</w:t>
            </w:r>
            <w:r>
              <w:rPr>
                <w:rFonts w:hint="default" w:ascii="仿宋" w:hAnsi="仿宋" w:eastAsia="仿宋"/>
                <w:color w:val="000000"/>
                <w:sz w:val="28"/>
                <w:szCs w:val="28"/>
              </w:rPr>
              <w:t>4</w:t>
            </w:r>
            <w:r>
              <w:rPr>
                <w:rFonts w:hint="eastAsia" w:ascii="仿宋" w:hAnsi="仿宋" w:eastAsia="仿宋"/>
                <w:color w:val="000000"/>
                <w:sz w:val="28"/>
                <w:szCs w:val="28"/>
              </w:rPr>
              <w:t>项。（获奖奖项相同时，按照综合测评成绩排序）</w:t>
            </w:r>
          </w:p>
        </w:tc>
        <w:tc>
          <w:tcPr>
            <w:tcW w:w="923" w:type="dxa"/>
            <w:noWrap w:val="0"/>
            <w:vAlign w:val="center"/>
          </w:tcPr>
          <w:p>
            <w:pPr>
              <w:keepNext w:val="0"/>
              <w:keepLines w:val="0"/>
              <w:suppressLineNumbers w:val="0"/>
              <w:spacing w:before="0" w:beforeAutospacing="0" w:after="0" w:afterAutospacing="0" w:line="240" w:lineRule="auto"/>
              <w:ind w:left="0" w:right="0"/>
              <w:rPr>
                <w:rFonts w:hint="default"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5" w:hRule="atLeast"/>
          <w:jc w:val="center"/>
        </w:trPr>
        <w:tc>
          <w:tcPr>
            <w:tcW w:w="810"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三</w:t>
            </w:r>
          </w:p>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等</w:t>
            </w:r>
          </w:p>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rPr>
              <w:t>奖</w:t>
            </w:r>
          </w:p>
        </w:tc>
        <w:tc>
          <w:tcPr>
            <w:tcW w:w="795" w:type="dxa"/>
            <w:noWrap w:val="0"/>
            <w:vAlign w:val="center"/>
          </w:tcPr>
          <w:p>
            <w:pPr>
              <w:keepNext w:val="0"/>
              <w:keepLines w:val="0"/>
              <w:suppressLineNumbers w:val="0"/>
              <w:spacing w:before="0" w:beforeAutospacing="0" w:after="0" w:afterAutospacing="0" w:line="240" w:lineRule="auto"/>
              <w:ind w:left="0" w:right="0"/>
              <w:jc w:val="center"/>
              <w:rPr>
                <w:rFonts w:hint="default" w:ascii="仿宋" w:hAnsi="仿宋" w:eastAsia="仿宋"/>
                <w:color w:val="000000"/>
                <w:sz w:val="28"/>
                <w:szCs w:val="28"/>
              </w:rPr>
            </w:pPr>
            <w:r>
              <w:rPr>
                <w:rFonts w:hint="eastAsia" w:ascii="仿宋" w:hAnsi="仿宋" w:eastAsia="仿宋"/>
                <w:color w:val="000000"/>
                <w:sz w:val="28"/>
                <w:szCs w:val="28"/>
                <w:lang w:val="en-US" w:eastAsia="zh-CN"/>
              </w:rPr>
              <w:t>110</w:t>
            </w:r>
            <w:r>
              <w:rPr>
                <w:rFonts w:hint="eastAsia" w:ascii="仿宋" w:hAnsi="仿宋" w:eastAsia="仿宋"/>
                <w:color w:val="000000"/>
                <w:sz w:val="28"/>
                <w:szCs w:val="28"/>
              </w:rPr>
              <w:t>名</w:t>
            </w:r>
          </w:p>
        </w:tc>
        <w:tc>
          <w:tcPr>
            <w:tcW w:w="1210" w:type="dxa"/>
            <w:vMerge w:val="continue"/>
            <w:noWrap w:val="0"/>
            <w:vAlign w:val="center"/>
          </w:tcPr>
          <w:p>
            <w:pPr>
              <w:keepNext w:val="0"/>
              <w:keepLines w:val="0"/>
              <w:suppressLineNumbers w:val="0"/>
              <w:spacing w:before="0" w:beforeAutospacing="0" w:after="0" w:afterAutospacing="0" w:line="240" w:lineRule="auto"/>
              <w:ind w:left="0" w:right="0"/>
              <w:rPr>
                <w:rFonts w:hint="default" w:ascii="仿宋" w:hAnsi="仿宋" w:eastAsia="仿宋"/>
                <w:color w:val="000000"/>
                <w:sz w:val="28"/>
                <w:szCs w:val="28"/>
              </w:rPr>
            </w:pPr>
          </w:p>
        </w:tc>
        <w:tc>
          <w:tcPr>
            <w:tcW w:w="5355" w:type="dxa"/>
            <w:noWrap w:val="0"/>
            <w:vAlign w:val="center"/>
          </w:tcPr>
          <w:p>
            <w:pPr>
              <w:keepNext w:val="0"/>
              <w:keepLines w:val="0"/>
              <w:suppressLineNumbers w:val="0"/>
              <w:spacing w:before="0" w:beforeAutospacing="0" w:after="0" w:afterAutospacing="0" w:line="240" w:lineRule="auto"/>
              <w:ind w:left="0" w:right="0" w:firstLine="560" w:firstLineChars="200"/>
              <w:rPr>
                <w:rFonts w:hint="default" w:ascii="仿宋" w:hAnsi="仿宋" w:eastAsia="仿宋"/>
                <w:color w:val="000000"/>
                <w:sz w:val="28"/>
                <w:szCs w:val="28"/>
              </w:rPr>
            </w:pPr>
            <w:r>
              <w:rPr>
                <w:rFonts w:hint="eastAsia" w:ascii="仿宋" w:hAnsi="仿宋" w:eastAsia="仿宋"/>
                <w:color w:val="000000"/>
                <w:sz w:val="28"/>
                <w:szCs w:val="28"/>
              </w:rPr>
              <w:t>表现优秀，学年综合测评成绩位列学院年级排名前20%</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含</w:t>
            </w:r>
            <w:r>
              <w:rPr>
                <w:rFonts w:hint="eastAsia" w:ascii="仿宋" w:hAnsi="仿宋" w:eastAsia="仿宋"/>
                <w:color w:val="000000"/>
                <w:sz w:val="28"/>
                <w:szCs w:val="28"/>
                <w:lang w:eastAsia="zh-CN"/>
              </w:rPr>
              <w:t>）</w:t>
            </w:r>
            <w:r>
              <w:rPr>
                <w:rFonts w:hint="eastAsia" w:ascii="仿宋" w:hAnsi="仿宋" w:eastAsia="仿宋"/>
                <w:color w:val="000000"/>
                <w:sz w:val="28"/>
                <w:szCs w:val="28"/>
              </w:rPr>
              <w:t>， 或获得省级</w:t>
            </w:r>
            <w:r>
              <w:rPr>
                <w:rFonts w:hint="eastAsia" w:ascii="仿宋" w:hAnsi="仿宋" w:eastAsia="仿宋"/>
                <w:color w:val="000000"/>
                <w:sz w:val="28"/>
                <w:szCs w:val="28"/>
                <w:lang w:val="en-US" w:eastAsia="zh-CN"/>
              </w:rPr>
              <w:t>及</w:t>
            </w:r>
            <w:r>
              <w:rPr>
                <w:rFonts w:hint="eastAsia" w:ascii="仿宋" w:hAnsi="仿宋" w:eastAsia="仿宋"/>
                <w:color w:val="000000"/>
                <w:sz w:val="28"/>
                <w:szCs w:val="28"/>
              </w:rPr>
              <w:t>以上竞赛奖项（含团体奖项）且学年综合测评成绩位列学院年级排名前30%</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含</w:t>
            </w:r>
            <w:r>
              <w:rPr>
                <w:rFonts w:hint="eastAsia" w:ascii="仿宋" w:hAnsi="仿宋" w:eastAsia="仿宋"/>
                <w:color w:val="000000"/>
                <w:sz w:val="28"/>
                <w:szCs w:val="28"/>
                <w:lang w:eastAsia="zh-CN"/>
              </w:rPr>
              <w:t>）。</w:t>
            </w:r>
          </w:p>
          <w:p>
            <w:pPr>
              <w:keepNext w:val="0"/>
              <w:keepLines w:val="0"/>
              <w:suppressLineNumbers w:val="0"/>
              <w:spacing w:before="0" w:beforeAutospacing="0" w:after="0" w:afterAutospacing="0" w:line="240" w:lineRule="auto"/>
              <w:ind w:left="0" w:right="0" w:firstLine="560" w:firstLineChars="200"/>
              <w:rPr>
                <w:rFonts w:hint="default"/>
                <w:color w:val="000000"/>
              </w:rPr>
            </w:pPr>
            <w:r>
              <w:rPr>
                <w:rFonts w:hint="eastAsia" w:ascii="仿宋" w:hAnsi="仿宋" w:eastAsia="仿宋"/>
                <w:color w:val="000000"/>
                <w:sz w:val="28"/>
                <w:szCs w:val="28"/>
              </w:rPr>
              <w:t>获得校内单项奖励3项。（获奖奖项相同时，按照综合测评成绩排序）</w:t>
            </w:r>
          </w:p>
        </w:tc>
        <w:tc>
          <w:tcPr>
            <w:tcW w:w="923" w:type="dxa"/>
            <w:noWrap w:val="0"/>
            <w:vAlign w:val="center"/>
          </w:tcPr>
          <w:p>
            <w:pPr>
              <w:keepNext w:val="0"/>
              <w:keepLines w:val="0"/>
              <w:suppressLineNumbers w:val="0"/>
              <w:spacing w:before="0" w:beforeAutospacing="0" w:after="0" w:afterAutospacing="0" w:line="400" w:lineRule="exact"/>
              <w:ind w:left="0" w:right="0"/>
              <w:rPr>
                <w:rFonts w:hint="default" w:ascii="仿宋" w:hAnsi="仿宋" w:eastAsia="仿宋"/>
                <w:color w:val="000000"/>
                <w:sz w:val="28"/>
                <w:szCs w:val="28"/>
              </w:rPr>
            </w:pPr>
          </w:p>
        </w:tc>
      </w:tr>
    </w:tbl>
    <w:p>
      <w:pPr>
        <w:tabs>
          <w:tab w:val="left" w:pos="2100"/>
          <w:tab w:val="left" w:pos="4200"/>
          <w:tab w:val="left" w:pos="6300"/>
        </w:tabs>
        <w:spacing w:line="240" w:lineRule="auto"/>
        <w:ind w:firstLine="561" w:firstLineChars="200"/>
        <w:rPr>
          <w:rFonts w:hint="eastAsia" w:ascii="宋体" w:hAnsi="宋体" w:eastAsia="宋体" w:cs="宋体"/>
          <w:b/>
          <w:color w:val="000000"/>
          <w:sz w:val="28"/>
          <w:szCs w:val="28"/>
        </w:rPr>
      </w:pP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特别贡献奖</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lang w:eastAsia="zh-CN"/>
        </w:rPr>
      </w:pPr>
      <w:r>
        <w:rPr>
          <w:rFonts w:hint="eastAsia" w:ascii="Times New Roman" w:hAnsi="Times New Roman" w:eastAsia="宋体" w:cs="Times New Roman"/>
          <w:color w:val="000000"/>
          <w:sz w:val="28"/>
          <w:szCs w:val="28"/>
        </w:rPr>
        <w:t>表现优秀，学年综合测评成绩位列学院年级排名前50%</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lang w:val="en-US" w:eastAsia="zh-CN"/>
        </w:rPr>
        <w:t>含</w:t>
      </w:r>
      <w:r>
        <w:rPr>
          <w:rFonts w:hint="eastAsia" w:ascii="Times New Roman" w:hAnsi="Times New Roman" w:eastAsia="宋体" w:cs="Times New Roman"/>
          <w:color w:val="000000"/>
          <w:sz w:val="28"/>
          <w:szCs w:val="28"/>
          <w:lang w:eastAsia="zh-CN"/>
        </w:rPr>
        <w:t>）</w:t>
      </w:r>
      <w:r>
        <w:rPr>
          <w:rFonts w:hint="eastAsia" w:ascii="Times New Roman" w:hAnsi="Times New Roman" w:eastAsia="宋体" w:cs="Times New Roman"/>
          <w:color w:val="000000"/>
          <w:sz w:val="28"/>
          <w:szCs w:val="28"/>
        </w:rPr>
        <w:t>、获单项奖1颗星并同时获得以下奖项其中两项（评选名额不超过6人）</w:t>
      </w:r>
      <w:r>
        <w:rPr>
          <w:rFonts w:hint="eastAsia" w:ascii="Times New Roman" w:hAnsi="Times New Roman" w:eastAsia="宋体" w:cs="Times New Roman"/>
          <w:color w:val="000000"/>
          <w:sz w:val="28"/>
          <w:szCs w:val="28"/>
          <w:lang w:eastAsia="zh-CN"/>
        </w:rPr>
        <w:t>。</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（一）获国家奖学金；</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（二）获国家级技能竞赛（含团体奖项）三等奖以上；</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（三）在学术研究上取得显著成绩，以第一作者发表的论文被SCI、EI、ISTP、SSCI全文收录，以第一、第二出版学术专著（须通过专家鉴定）；</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（四）在创新发明方面取得显著成绩，获得通过专家鉴定的国家专利（不包括实用新型专利、外观设计专利）；</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五）在社会主义精神文明建设中表现突出，具有见义勇为、助人为乐、奉献爱心、服务社会、自立自强的实际行动，在全国、全省产生较大影响力，有助于树立良好的社会风尚（该项若获国家级报导，在全国产生较大影响力，可直接参评特别贡献奖）；</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六）获全国三好学生、全国优秀学生干部、全国社会实践先进个人、全国十大杰出青年、中国青年五四奖章、大学生年度人物、优秀共青团员等全国性荣誉称号或省级荣誉称号（该项若获国家级表彰可直接参评特别贡献奖）。</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第十一条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广科大学生年度人物</w:t>
      </w:r>
    </w:p>
    <w:p>
      <w:pPr>
        <w:tabs>
          <w:tab w:val="left" w:pos="2100"/>
          <w:tab w:val="left" w:pos="4200"/>
          <w:tab w:val="left" w:pos="6300"/>
        </w:tabs>
        <w:spacing w:line="360" w:lineRule="auto"/>
        <w:ind w:firstLine="560" w:firstLineChars="200"/>
        <w:rPr>
          <w:rFonts w:ascii="仿宋" w:hAnsi="仿宋" w:eastAsia="仿宋"/>
          <w:color w:val="000000"/>
          <w:sz w:val="28"/>
          <w:szCs w:val="28"/>
        </w:rPr>
      </w:pPr>
      <w:r>
        <w:rPr>
          <w:rFonts w:hint="eastAsia" w:ascii="Times New Roman" w:hAnsi="Times New Roman" w:eastAsia="宋体" w:cs="Times New Roman"/>
          <w:color w:val="000000"/>
          <w:sz w:val="28"/>
          <w:szCs w:val="28"/>
        </w:rPr>
        <w:t>从“广科之星”综合奖励一等奖、特别贡献奖中产生“广科大学生年度人物”，评选名额不超过10名。</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第五章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奖励标准与发放</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第十二条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单项奖励标准</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颁发荣誉证书。</w:t>
      </w:r>
    </w:p>
    <w:p>
      <w:pPr>
        <w:tabs>
          <w:tab w:val="left" w:pos="2100"/>
          <w:tab w:val="left" w:pos="4200"/>
          <w:tab w:val="left" w:pos="6300"/>
        </w:tabs>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第十三条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“广科之星”综合奖励标准</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一等奖：10000元；</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二等奖：</w:t>
      </w:r>
      <w:r>
        <w:rPr>
          <w:rFonts w:hint="eastAsia" w:ascii="Times New Roman" w:hAnsi="Times New Roman" w:eastAsia="宋体" w:cs="Times New Roman"/>
          <w:color w:val="000000"/>
          <w:sz w:val="28"/>
          <w:szCs w:val="28"/>
          <w:lang w:val="en-US" w:eastAsia="zh-CN"/>
        </w:rPr>
        <w:t>8</w:t>
      </w:r>
      <w:r>
        <w:rPr>
          <w:rFonts w:hint="eastAsia" w:ascii="Times New Roman" w:hAnsi="Times New Roman" w:eastAsia="宋体" w:cs="Times New Roman"/>
          <w:color w:val="000000"/>
          <w:sz w:val="28"/>
          <w:szCs w:val="28"/>
        </w:rPr>
        <w:t>000元；</w:t>
      </w:r>
    </w:p>
    <w:p>
      <w:pPr>
        <w:tabs>
          <w:tab w:val="left" w:pos="2100"/>
          <w:tab w:val="left" w:pos="4200"/>
          <w:tab w:val="left" w:pos="6300"/>
        </w:tabs>
        <w:spacing w:line="360" w:lineRule="auto"/>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三等奖：</w:t>
      </w:r>
      <w:r>
        <w:rPr>
          <w:rFonts w:hint="eastAsia" w:ascii="Times New Roman" w:hAnsi="Times New Roman" w:eastAsia="宋体" w:cs="Times New Roman"/>
          <w:color w:val="000000"/>
          <w:sz w:val="28"/>
          <w:szCs w:val="28"/>
          <w:lang w:val="en-US" w:eastAsia="zh-CN"/>
        </w:rPr>
        <w:t>6</w:t>
      </w:r>
      <w:r>
        <w:rPr>
          <w:rFonts w:hint="eastAsia" w:ascii="Times New Roman" w:hAnsi="Times New Roman" w:eastAsia="宋体" w:cs="Times New Roman"/>
          <w:color w:val="000000"/>
          <w:sz w:val="28"/>
          <w:szCs w:val="28"/>
        </w:rPr>
        <w:t>000元。</w:t>
      </w:r>
    </w:p>
    <w:p>
      <w:pPr>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第十四条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“特别贡献奖”奖励标准：10000元。</w:t>
      </w:r>
    </w:p>
    <w:p>
      <w:pPr>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第十五条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“特别贡献奖”奖励奖金一次性发放给获奖学生，颁发荣誉证书。</w:t>
      </w:r>
    </w:p>
    <w:p>
      <w:pPr>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第十六条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获得国家奖学金的学生不能同时参评“广科之星”综合奖励；可参评单项奖励，发放荣誉证书。</w:t>
      </w:r>
    </w:p>
    <w:p>
      <w:pPr>
        <w:spacing w:line="360" w:lineRule="auto"/>
        <w:ind w:firstLine="561" w:firstLineChars="200"/>
        <w:rPr>
          <w:rFonts w:hint="eastAsia" w:ascii="Times New Roman" w:hAnsi="Times New Roman" w:eastAsia="宋体" w:cs="Times New Roman"/>
          <w:color w:val="000000"/>
          <w:sz w:val="28"/>
          <w:szCs w:val="28"/>
        </w:rPr>
      </w:pPr>
      <w:r>
        <w:rPr>
          <w:rFonts w:hint="eastAsia" w:ascii="宋体" w:hAnsi="宋体" w:eastAsia="宋体" w:cs="宋体"/>
          <w:b/>
          <w:color w:val="000000"/>
          <w:sz w:val="28"/>
          <w:szCs w:val="28"/>
        </w:rPr>
        <w:t>第十七条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获得“广科大学生年度人物”的学生，不发放奖励金，只颁发荣誉证书。</w:t>
      </w:r>
    </w:p>
    <w:p>
      <w:pPr>
        <w:spacing w:line="360" w:lineRule="auto"/>
        <w:ind w:firstLine="561" w:firstLineChars="200"/>
        <w:rPr>
          <w:rFonts w:hint="eastAsia" w:ascii="微软雅黑" w:hAnsi="微软雅黑" w:eastAsia="微软雅黑" w:cs="微软雅黑"/>
          <w:b/>
          <w:bCs/>
          <w:color w:val="000000"/>
          <w:sz w:val="28"/>
          <w:szCs w:val="28"/>
        </w:rPr>
      </w:pPr>
      <w:r>
        <w:rPr>
          <w:rFonts w:hint="eastAsia" w:ascii="宋体" w:hAnsi="宋体" w:eastAsia="宋体" w:cs="宋体"/>
          <w:b/>
          <w:color w:val="000000"/>
          <w:sz w:val="28"/>
          <w:szCs w:val="28"/>
        </w:rPr>
        <w:t>第十八条</w:t>
      </w:r>
      <w:r>
        <w:rPr>
          <w:rFonts w:hint="eastAsia" w:ascii="宋体" w:hAnsi="宋体" w:cs="宋体"/>
          <w:color w:val="000000"/>
          <w:sz w:val="28"/>
          <w:szCs w:val="28"/>
          <w:lang w:val="en-US" w:eastAsia="zh-CN"/>
        </w:rPr>
        <w:t xml:space="preserve"> </w:t>
      </w:r>
      <w:r>
        <w:rPr>
          <w:rFonts w:hint="eastAsia" w:ascii="Times New Roman" w:hAnsi="Times New Roman" w:eastAsia="宋体" w:cs="Times New Roman"/>
          <w:color w:val="000000"/>
          <w:sz w:val="28"/>
          <w:szCs w:val="28"/>
        </w:rPr>
        <w:t>二、三年级受奖励学生所获奖项由学校统一制作、颁发荣誉证书并召开全校大会给予表彰，受表彰学生事迹材料在全校进行宣传。</w:t>
      </w:r>
    </w:p>
    <w:p>
      <w:pPr>
        <w:pageBreakBefore w:val="0"/>
        <w:kinsoku/>
        <w:wordWrap/>
        <w:overflowPunct/>
        <w:topLinePunct w:val="0"/>
        <w:bidi w:val="0"/>
        <w:spacing w:line="360" w:lineRule="auto"/>
        <w:jc w:val="center"/>
        <w:textAlignment w:val="auto"/>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第六章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附 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本办法由</w:t>
      </w:r>
      <w:r>
        <w:rPr>
          <w:rFonts w:hint="eastAsia" w:ascii="宋体" w:hAnsi="宋体" w:cs="宋体"/>
          <w:color w:val="000000"/>
          <w:sz w:val="28"/>
          <w:szCs w:val="28"/>
          <w:lang w:val="en-US" w:eastAsia="zh-CN"/>
        </w:rPr>
        <w:t>党委</w:t>
      </w:r>
      <w:r>
        <w:rPr>
          <w:rFonts w:hint="eastAsia" w:ascii="宋体" w:hAnsi="宋体" w:eastAsia="宋体" w:cs="宋体"/>
          <w:color w:val="000000"/>
          <w:sz w:val="28"/>
          <w:szCs w:val="28"/>
        </w:rPr>
        <w:t>学生工作部负责解释。</w:t>
      </w:r>
    </w:p>
    <w:p>
      <w:pPr>
        <w:spacing w:line="360" w:lineRule="auto"/>
        <w:ind w:firstLine="200"/>
        <w:jc w:val="both"/>
        <w:rPr>
          <w:rFonts w:hint="eastAsia" w:ascii="宋体" w:hAnsi="宋体" w:eastAsia="宋体" w:cs="宋体"/>
          <w:color w:val="000000"/>
          <w:sz w:val="28"/>
          <w:szCs w:val="28"/>
        </w:rPr>
      </w:pPr>
      <w:r>
        <w:rPr>
          <w:rFonts w:hint="eastAsia" w:ascii="宋体" w:hAnsi="宋体" w:eastAsia="宋体" w:cs="宋体"/>
          <w:b/>
          <w:color w:val="000000"/>
          <w:sz w:val="28"/>
          <w:szCs w:val="28"/>
          <w:lang w:val="en-US" w:eastAsia="zh-CN"/>
        </w:rPr>
        <w:t xml:space="preserve">   </w:t>
      </w:r>
      <w:r>
        <w:rPr>
          <w:rFonts w:hint="eastAsia" w:ascii="宋体" w:hAnsi="宋体" w:eastAsia="宋体" w:cs="宋体"/>
          <w:b/>
          <w:color w:val="000000"/>
          <w:sz w:val="28"/>
          <w:szCs w:val="28"/>
        </w:rPr>
        <w:t>第二十条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本办法自发布之日起施行，原《广东科学技术职业学院学生奖励评审办法》（粤科职院院字〔2021〕106号）同时废止。</w:t>
      </w:r>
    </w:p>
    <w:p>
      <w:pPr>
        <w:spacing w:line="240" w:lineRule="auto"/>
        <w:ind w:firstLine="200"/>
        <w:jc w:val="both"/>
        <w:rPr>
          <w:rFonts w:hint="eastAsia" w:ascii="宋体" w:hAnsi="宋体" w:eastAsia="宋体" w:cs="宋体"/>
          <w:color w:val="000000"/>
          <w:sz w:val="28"/>
          <w:szCs w:val="28"/>
        </w:rPr>
      </w:pPr>
    </w:p>
    <w:p>
      <w:pPr>
        <w:tabs>
          <w:tab w:val="left" w:pos="1440"/>
          <w:tab w:val="left" w:pos="1620"/>
        </w:tabs>
        <w:spacing w:line="240" w:lineRule="auto"/>
        <w:ind w:left="1876" w:leftChars="760" w:hanging="280" w:hangingChars="100"/>
        <w:rPr>
          <w:rFonts w:hint="eastAsia" w:ascii="宋体" w:hAnsi="宋体" w:eastAsia="宋体" w:cs="宋体"/>
          <w:color w:val="000000"/>
          <w:sz w:val="28"/>
          <w:szCs w:val="28"/>
        </w:rPr>
      </w:pPr>
    </w:p>
    <w:p>
      <w:pPr>
        <w:ind w:left="0" w:leftChars="0" w:firstLine="0" w:firstLineChars="0"/>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F55F8"/>
    <w:rsid w:val="0FDE76EE"/>
    <w:rsid w:val="1FFE28B7"/>
    <w:rsid w:val="36BF55F8"/>
    <w:rsid w:val="5FFFBF34"/>
    <w:rsid w:val="7BBF2289"/>
    <w:rsid w:val="A9FF257A"/>
    <w:rsid w:val="ABF94D38"/>
    <w:rsid w:val="B77FD5F8"/>
    <w:rsid w:val="BC3E504C"/>
    <w:rsid w:val="BFBF7511"/>
    <w:rsid w:val="DE9F32AB"/>
    <w:rsid w:val="EFAC25AA"/>
    <w:rsid w:val="EFDF713F"/>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2023-11-15T10:39:00Z</dcterms:created>
  <dc:creator>张梦莉</dc:creator>
  <cp:lastModifiedBy>张梦莉</cp:lastModifiedBy>
  <dcterms:modified xsi:type="dcterms:W3CDTF">2023-11-15T10:40:39Z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7C2F611323F69637762F54655CEF7074_41</vt:lpwstr>
  </property>
</Properties>
</file>