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03750" w14:textId="77777777" w:rsidR="005355A5" w:rsidRDefault="009A0CAF" w:rsidP="009A0CAF">
      <w:pPr>
        <w:pStyle w:val="1"/>
        <w:jc w:val="center"/>
        <w:rPr>
          <w:szCs w:val="28"/>
        </w:rPr>
      </w:pPr>
      <w:bookmarkStart w:id="0" w:name="_Toc9345729"/>
      <w:bookmarkStart w:id="1" w:name="_Toc9345959"/>
      <w:bookmarkStart w:id="2" w:name="_Toc11879248"/>
      <w:r>
        <w:rPr>
          <w:rFonts w:hint="eastAsia"/>
          <w:szCs w:val="28"/>
        </w:rPr>
        <w:t>中共教育部党组关于抓好赋予科研管理更大自主权有关文件贯彻落实工作的通知</w:t>
      </w:r>
      <w:r>
        <w:rPr>
          <w:rFonts w:hint="eastAsia"/>
          <w:szCs w:val="28"/>
        </w:rPr>
        <w:t>2019</w:t>
      </w:r>
      <w:bookmarkEnd w:id="0"/>
      <w:bookmarkEnd w:id="1"/>
      <w:bookmarkEnd w:id="2"/>
    </w:p>
    <w:p w14:paraId="1AB6ACE4" w14:textId="60BCB8EF" w:rsidR="005355A5" w:rsidRDefault="009A0CAF" w:rsidP="009A0CAF">
      <w:pPr>
        <w:widowControl/>
        <w:shd w:val="clear" w:color="auto" w:fill="FFFFFF"/>
        <w:spacing w:line="435" w:lineRule="atLeast"/>
        <w:jc w:val="center"/>
        <w:rPr>
          <w:rFonts w:ascii="仿宋" w:hAnsi="仿宋" w:cs="宋体"/>
          <w:color w:val="4B4B4B"/>
          <w:kern w:val="0"/>
          <w:sz w:val="28"/>
          <w:szCs w:val="28"/>
        </w:rPr>
      </w:pPr>
      <w:bookmarkStart w:id="3" w:name="_GoBack"/>
      <w:proofErr w:type="gramStart"/>
      <w:r>
        <w:rPr>
          <w:rFonts w:ascii="仿宋" w:hAnsi="仿宋" w:cs="宋体" w:hint="eastAsia"/>
          <w:color w:val="4B4B4B"/>
          <w:kern w:val="0"/>
          <w:sz w:val="28"/>
          <w:szCs w:val="28"/>
        </w:rPr>
        <w:t>教党函〔</w:t>
      </w:r>
      <w:r>
        <w:rPr>
          <w:rFonts w:ascii="仿宋" w:hAnsi="仿宋" w:cs="宋体" w:hint="eastAsia"/>
          <w:color w:val="4B4B4B"/>
          <w:kern w:val="0"/>
          <w:sz w:val="28"/>
          <w:szCs w:val="28"/>
        </w:rPr>
        <w:t>2019</w:t>
      </w:r>
      <w:r>
        <w:rPr>
          <w:rFonts w:ascii="仿宋" w:hAnsi="仿宋" w:cs="宋体" w:hint="eastAsia"/>
          <w:color w:val="4B4B4B"/>
          <w:kern w:val="0"/>
          <w:sz w:val="28"/>
          <w:szCs w:val="28"/>
        </w:rPr>
        <w:t>〕</w:t>
      </w:r>
      <w:proofErr w:type="gramEnd"/>
      <w:r>
        <w:rPr>
          <w:rFonts w:ascii="仿宋" w:hAnsi="仿宋" w:cs="宋体" w:hint="eastAsia"/>
          <w:color w:val="4B4B4B"/>
          <w:kern w:val="0"/>
          <w:sz w:val="28"/>
          <w:szCs w:val="28"/>
        </w:rPr>
        <w:t>37</w:t>
      </w:r>
      <w:r>
        <w:rPr>
          <w:rFonts w:ascii="仿宋" w:hAnsi="仿宋" w:cs="宋体" w:hint="eastAsia"/>
          <w:color w:val="4B4B4B"/>
          <w:kern w:val="0"/>
          <w:sz w:val="28"/>
          <w:szCs w:val="28"/>
        </w:rPr>
        <w:t>号</w:t>
      </w:r>
    </w:p>
    <w:p w14:paraId="6D135C79"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部属各高等学校党委：</w:t>
      </w:r>
    </w:p>
    <w:p w14:paraId="1ACF9043"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 xml:space="preserve">　　近年来，党中央、国务院聚焦完善科研管理、提升科研绩效等方面，出台了《关于进一步完善中央财政科研项目资金管理等政策的若干意见》、《关于优化科研管理提升科研绩效若干措施的通知》（国发〔</w:t>
      </w:r>
      <w:r>
        <w:rPr>
          <w:rFonts w:ascii="仿宋" w:hAnsi="仿宋" w:cs="宋体" w:hint="eastAsia"/>
          <w:color w:val="4B4B4B"/>
          <w:kern w:val="0"/>
          <w:sz w:val="28"/>
          <w:szCs w:val="28"/>
        </w:rPr>
        <w:t>2018</w:t>
      </w:r>
      <w:r>
        <w:rPr>
          <w:rFonts w:ascii="仿宋" w:hAnsi="仿宋" w:cs="宋体" w:hint="eastAsia"/>
          <w:color w:val="4B4B4B"/>
          <w:kern w:val="0"/>
          <w:sz w:val="28"/>
          <w:szCs w:val="28"/>
        </w:rPr>
        <w:t>〕</w:t>
      </w:r>
      <w:r>
        <w:rPr>
          <w:rFonts w:ascii="仿宋" w:hAnsi="仿宋" w:cs="宋体" w:hint="eastAsia"/>
          <w:color w:val="4B4B4B"/>
          <w:kern w:val="0"/>
          <w:sz w:val="28"/>
          <w:szCs w:val="28"/>
        </w:rPr>
        <w:t>25</w:t>
      </w:r>
      <w:r>
        <w:rPr>
          <w:rFonts w:ascii="仿宋" w:hAnsi="仿宋" w:cs="宋体" w:hint="eastAsia"/>
          <w:color w:val="4B4B4B"/>
          <w:kern w:val="0"/>
          <w:sz w:val="28"/>
          <w:szCs w:val="28"/>
        </w:rPr>
        <w:t>号）等一系列重大政策文件。各高校党委要充分认识落实科研管理政策创新的重要意义，坚决贯彻党中央、国务院各项部署要求，切实担负起主体责任，进一步抓好赋予科研管理更大自主权有关文件贯彻落实工作。经商中央纪委国家监委驻教育部纪检监察组，现就有关事项通知如下。</w:t>
      </w:r>
    </w:p>
    <w:p w14:paraId="27DE0906" w14:textId="77777777" w:rsidR="005355A5" w:rsidRDefault="009A0CAF">
      <w:pPr>
        <w:rPr>
          <w:kern w:val="0"/>
          <w:sz w:val="28"/>
          <w:szCs w:val="28"/>
        </w:rPr>
      </w:pPr>
      <w:r>
        <w:rPr>
          <w:rFonts w:hint="eastAsia"/>
          <w:kern w:val="0"/>
          <w:sz w:val="28"/>
          <w:szCs w:val="28"/>
        </w:rPr>
        <w:t xml:space="preserve">　　</w:t>
      </w:r>
      <w:bookmarkStart w:id="4" w:name="_Toc9410377"/>
      <w:bookmarkStart w:id="5" w:name="_Toc9412611"/>
      <w:bookmarkStart w:id="6" w:name="_Toc9345730"/>
      <w:bookmarkStart w:id="7" w:name="_Toc9345960"/>
      <w:bookmarkStart w:id="8" w:name="_Toc11271260"/>
      <w:r>
        <w:rPr>
          <w:rFonts w:hint="eastAsia"/>
          <w:kern w:val="0"/>
          <w:sz w:val="28"/>
          <w:szCs w:val="28"/>
        </w:rPr>
        <w:t>一、坚持问题导向，完善科研管理制度</w:t>
      </w:r>
      <w:bookmarkEnd w:id="4"/>
      <w:bookmarkEnd w:id="5"/>
      <w:bookmarkEnd w:id="6"/>
      <w:bookmarkEnd w:id="7"/>
      <w:bookmarkEnd w:id="8"/>
    </w:p>
    <w:p w14:paraId="0C0CE4E1"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 xml:space="preserve">　　各高校要对照党中央</w:t>
      </w:r>
      <w:r>
        <w:rPr>
          <w:rFonts w:ascii="仿宋" w:hAnsi="仿宋" w:cs="宋体" w:hint="eastAsia"/>
          <w:color w:val="4B4B4B"/>
          <w:kern w:val="0"/>
          <w:sz w:val="28"/>
          <w:szCs w:val="28"/>
        </w:rPr>
        <w:t>、国务院已出台的新政策新要求，对现行科</w:t>
      </w:r>
      <w:proofErr w:type="gramStart"/>
      <w:r>
        <w:rPr>
          <w:rFonts w:ascii="仿宋" w:hAnsi="仿宋" w:cs="宋体" w:hint="eastAsia"/>
          <w:color w:val="4B4B4B"/>
          <w:kern w:val="0"/>
          <w:sz w:val="28"/>
          <w:szCs w:val="28"/>
        </w:rPr>
        <w:t>研</w:t>
      </w:r>
      <w:proofErr w:type="gramEnd"/>
      <w:r>
        <w:rPr>
          <w:rFonts w:ascii="仿宋" w:hAnsi="仿宋" w:cs="宋体" w:hint="eastAsia"/>
          <w:color w:val="4B4B4B"/>
          <w:kern w:val="0"/>
          <w:sz w:val="28"/>
          <w:szCs w:val="28"/>
        </w:rPr>
        <w:t>项目、科研资金、科技成果转化、外国专家和科研人员差旅、会议、</w:t>
      </w:r>
      <w:r>
        <w:rPr>
          <w:rFonts w:ascii="仿宋" w:hAnsi="仿宋" w:cs="宋体" w:hint="eastAsia"/>
          <w:color w:val="4B4B4B"/>
          <w:kern w:val="0"/>
          <w:sz w:val="28"/>
          <w:szCs w:val="28"/>
        </w:rPr>
        <w:t>因公临时出国（境）等管理办法开展全面自查。凡是与党中央、国务院新政策新要求不符的管理办法，要逐一清理和修订完善；尚未制定管理办法的，要抓紧制定出台。除国家和项目主管部门有明确具体规定外，各高校根据党中央、国务院有关文件精神制定的相关管理办法，可作为预算编制、经费管理、审计检查、财务验收、评估评审、巡视督查以及纪律检查等工作的重要依据。</w:t>
      </w:r>
    </w:p>
    <w:p w14:paraId="65B539F8" w14:textId="77777777" w:rsidR="005355A5" w:rsidRDefault="009A0CAF">
      <w:pPr>
        <w:rPr>
          <w:kern w:val="0"/>
          <w:sz w:val="28"/>
          <w:szCs w:val="28"/>
        </w:rPr>
      </w:pPr>
      <w:r>
        <w:rPr>
          <w:rFonts w:hint="eastAsia"/>
          <w:kern w:val="0"/>
          <w:sz w:val="28"/>
          <w:szCs w:val="28"/>
        </w:rPr>
        <w:t xml:space="preserve">　　</w:t>
      </w:r>
      <w:bookmarkStart w:id="9" w:name="_Toc9410378"/>
      <w:bookmarkStart w:id="10" w:name="_Toc9345731"/>
      <w:bookmarkStart w:id="11" w:name="_Toc9412612"/>
      <w:bookmarkStart w:id="12" w:name="_Toc11271261"/>
      <w:bookmarkStart w:id="13" w:name="_Toc9345961"/>
      <w:r>
        <w:rPr>
          <w:rFonts w:hint="eastAsia"/>
          <w:kern w:val="0"/>
          <w:sz w:val="28"/>
          <w:szCs w:val="28"/>
        </w:rPr>
        <w:t>二、遵循科研规律，落实科研管理自主权</w:t>
      </w:r>
      <w:bookmarkEnd w:id="9"/>
      <w:bookmarkEnd w:id="10"/>
      <w:bookmarkEnd w:id="11"/>
      <w:bookmarkEnd w:id="12"/>
      <w:bookmarkEnd w:id="13"/>
    </w:p>
    <w:p w14:paraId="747DBBB4"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 xml:space="preserve">　　各高校制定的科研经费管理和政</w:t>
      </w:r>
      <w:r>
        <w:rPr>
          <w:rFonts w:ascii="仿宋" w:hAnsi="仿宋" w:cs="宋体" w:hint="eastAsia"/>
          <w:color w:val="4B4B4B"/>
          <w:kern w:val="0"/>
          <w:sz w:val="28"/>
          <w:szCs w:val="28"/>
        </w:rPr>
        <w:t>府采购管理办法，要体现教学科研经费与学校行政管理经费的差异性，合理区分业务活动与公务活动，</w:t>
      </w:r>
      <w:r>
        <w:rPr>
          <w:rFonts w:ascii="仿宋" w:hAnsi="仿宋" w:cs="宋体" w:hint="eastAsia"/>
          <w:color w:val="4B4B4B"/>
          <w:kern w:val="0"/>
          <w:sz w:val="28"/>
          <w:szCs w:val="28"/>
        </w:rPr>
        <w:lastRenderedPageBreak/>
        <w:t>支持科研活动规范、高效开展。纵向科研经费管理按国家规定执行，科研人员差旅费、会议费、国际合作与交流费、专家咨询费、劳务费等，由高校结合学校实际自主确定开支标准、报销范围，优化审批程序，简化报销手续。横向科研经费除上述费用外，可按实际需要开支少量科研活动接待费，由学校确定具体管理办法，严格管理。用于科研活动的仪器设备、耗材备件以及服务、工程的采购，各高校要根据科研需要，制定具体办法，缩短采购周期，简化采购流程。特别是对于</w:t>
      </w:r>
      <w:r>
        <w:rPr>
          <w:rFonts w:ascii="仿宋" w:hAnsi="仿宋" w:cs="宋体" w:hint="eastAsia"/>
          <w:color w:val="4B4B4B"/>
          <w:kern w:val="0"/>
          <w:sz w:val="28"/>
          <w:szCs w:val="28"/>
        </w:rPr>
        <w:t>科研急需的设备和耗材，要落实</w:t>
      </w:r>
      <w:proofErr w:type="gramStart"/>
      <w:r>
        <w:rPr>
          <w:rFonts w:ascii="仿宋" w:hAnsi="仿宋" w:cs="宋体" w:hint="eastAsia"/>
          <w:color w:val="4B4B4B"/>
          <w:kern w:val="0"/>
          <w:sz w:val="28"/>
          <w:szCs w:val="28"/>
        </w:rPr>
        <w:t>特</w:t>
      </w:r>
      <w:proofErr w:type="gramEnd"/>
      <w:r>
        <w:rPr>
          <w:rFonts w:ascii="仿宋" w:hAnsi="仿宋" w:cs="宋体" w:hint="eastAsia"/>
          <w:color w:val="4B4B4B"/>
          <w:kern w:val="0"/>
          <w:sz w:val="28"/>
          <w:szCs w:val="28"/>
        </w:rPr>
        <w:t>事特办、随到随办的采购机制，明确适用情况，确定可不进行招投标程序的采购情形。</w:t>
      </w:r>
    </w:p>
    <w:p w14:paraId="1696D5B7" w14:textId="77777777" w:rsidR="005355A5" w:rsidRDefault="009A0CAF">
      <w:pPr>
        <w:rPr>
          <w:kern w:val="0"/>
          <w:sz w:val="28"/>
          <w:szCs w:val="28"/>
        </w:rPr>
      </w:pPr>
      <w:r>
        <w:rPr>
          <w:rFonts w:hint="eastAsia"/>
          <w:kern w:val="0"/>
          <w:sz w:val="28"/>
          <w:szCs w:val="28"/>
        </w:rPr>
        <w:t xml:space="preserve">　　</w:t>
      </w:r>
      <w:bookmarkStart w:id="14" w:name="_Toc11271262"/>
      <w:bookmarkStart w:id="15" w:name="_Toc9410379"/>
      <w:bookmarkStart w:id="16" w:name="_Toc9345732"/>
      <w:bookmarkStart w:id="17" w:name="_Toc9345962"/>
      <w:bookmarkStart w:id="18" w:name="_Toc9412613"/>
      <w:r>
        <w:rPr>
          <w:rFonts w:hint="eastAsia"/>
          <w:kern w:val="0"/>
          <w:sz w:val="28"/>
          <w:szCs w:val="28"/>
        </w:rPr>
        <w:t>三、优化管理服务，增强科研人员获得感</w:t>
      </w:r>
      <w:bookmarkEnd w:id="14"/>
      <w:bookmarkEnd w:id="15"/>
      <w:bookmarkEnd w:id="16"/>
      <w:bookmarkEnd w:id="17"/>
      <w:bookmarkEnd w:id="18"/>
    </w:p>
    <w:p w14:paraId="3391818F"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 xml:space="preserve">　　各高校要加强科研管理信息化建设，推进“一站式”服务，各种管理事务限时办结，提高科研管理服务效率。要赋予科研人员更大的预算调剂自主权，减少科研经费报销各类证明材料，缩减审批环节，简化报销流程，推进网络服务，切实解决“报销繁”问题。要建立完善学术助理和财务助理制度，根据科研需要和科研人员意愿，统筹落实专门经费、专职人员，把科研人员从报表、报销等具体事务中解脱出</w:t>
      </w:r>
      <w:r>
        <w:rPr>
          <w:rFonts w:ascii="仿宋" w:hAnsi="仿宋" w:cs="宋体" w:hint="eastAsia"/>
          <w:color w:val="4B4B4B"/>
          <w:kern w:val="0"/>
          <w:sz w:val="28"/>
          <w:szCs w:val="28"/>
        </w:rPr>
        <w:t>来。各高校科研项目中提取的间接费用，要更多用于科研绩效奖励，加大科研人员绩效工资比重。</w:t>
      </w:r>
    </w:p>
    <w:p w14:paraId="702407A3" w14:textId="77777777" w:rsidR="005355A5" w:rsidRDefault="009A0CAF">
      <w:pPr>
        <w:rPr>
          <w:kern w:val="0"/>
          <w:sz w:val="28"/>
          <w:szCs w:val="28"/>
        </w:rPr>
      </w:pPr>
      <w:r>
        <w:rPr>
          <w:rFonts w:hint="eastAsia"/>
          <w:kern w:val="0"/>
          <w:sz w:val="28"/>
          <w:szCs w:val="28"/>
        </w:rPr>
        <w:t xml:space="preserve">　　</w:t>
      </w:r>
      <w:bookmarkStart w:id="19" w:name="_Toc11271263"/>
      <w:bookmarkStart w:id="20" w:name="_Toc9410380"/>
      <w:bookmarkStart w:id="21" w:name="_Toc9412614"/>
      <w:bookmarkStart w:id="22" w:name="_Toc9345963"/>
      <w:bookmarkStart w:id="23" w:name="_Toc9345733"/>
      <w:r>
        <w:rPr>
          <w:rFonts w:hint="eastAsia"/>
          <w:kern w:val="0"/>
          <w:sz w:val="28"/>
          <w:szCs w:val="28"/>
        </w:rPr>
        <w:t>四、加强诚信建设，引导科研人员坚守法纪底线</w:t>
      </w:r>
      <w:bookmarkEnd w:id="19"/>
      <w:bookmarkEnd w:id="20"/>
      <w:bookmarkEnd w:id="21"/>
      <w:bookmarkEnd w:id="22"/>
      <w:bookmarkEnd w:id="23"/>
    </w:p>
    <w:p w14:paraId="3145FD5D"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 xml:space="preserve">　　各高校要加强科研诚信建设，强化科研人员主体地位、责任意识、诚信意识，引导科研人员恪守科学道德准则，遵守科研活动规范，</w:t>
      </w:r>
      <w:proofErr w:type="gramStart"/>
      <w:r>
        <w:rPr>
          <w:rFonts w:ascii="仿宋" w:hAnsi="仿宋" w:cs="宋体" w:hint="eastAsia"/>
          <w:color w:val="4B4B4B"/>
          <w:kern w:val="0"/>
          <w:sz w:val="28"/>
          <w:szCs w:val="28"/>
        </w:rPr>
        <w:t>践行</w:t>
      </w:r>
      <w:proofErr w:type="gramEnd"/>
      <w:r>
        <w:rPr>
          <w:rFonts w:ascii="仿宋" w:hAnsi="仿宋" w:cs="宋体" w:hint="eastAsia"/>
          <w:color w:val="4B4B4B"/>
          <w:kern w:val="0"/>
          <w:sz w:val="28"/>
          <w:szCs w:val="28"/>
        </w:rPr>
        <w:t>科研诚信要求。科研人员不得弄虚作假，骗取科技项目、科研经费以及奖励、荣誉等，不得在科研经费中报销应由个人承担的费用，不得将科研经费挪用于非科研用途，不得把外协单位作为逃避监管的法外之地。除涉密项目外，外协安排需事前由学校有关部门在校内公示。</w:t>
      </w:r>
      <w:r>
        <w:rPr>
          <w:rFonts w:ascii="仿宋" w:hAnsi="仿宋" w:cs="宋体" w:hint="eastAsia"/>
          <w:color w:val="4B4B4B"/>
          <w:kern w:val="0"/>
          <w:sz w:val="28"/>
          <w:szCs w:val="28"/>
        </w:rPr>
        <w:lastRenderedPageBreak/>
        <w:t>项目负责人如</w:t>
      </w:r>
      <w:r>
        <w:rPr>
          <w:rFonts w:ascii="仿宋" w:hAnsi="仿宋" w:cs="宋体" w:hint="eastAsia"/>
          <w:color w:val="4B4B4B"/>
          <w:kern w:val="0"/>
          <w:sz w:val="28"/>
          <w:szCs w:val="28"/>
        </w:rPr>
        <w:t>与外协单位有利益关联，应在签订外协合同前主动向学校相关部门报备。担任党务、行政职务的科研人员，不得利用审批、管理职权在项目申报或经费分配中谋取不正当利益或竞争优势。</w:t>
      </w:r>
    </w:p>
    <w:p w14:paraId="6515AA15" w14:textId="77777777" w:rsidR="005355A5" w:rsidRDefault="009A0CAF">
      <w:pPr>
        <w:rPr>
          <w:kern w:val="0"/>
          <w:sz w:val="28"/>
          <w:szCs w:val="28"/>
        </w:rPr>
      </w:pPr>
      <w:r>
        <w:rPr>
          <w:rFonts w:hint="eastAsia"/>
          <w:kern w:val="0"/>
          <w:sz w:val="28"/>
          <w:szCs w:val="28"/>
        </w:rPr>
        <w:t xml:space="preserve">　　</w:t>
      </w:r>
      <w:bookmarkStart w:id="24" w:name="_Toc9345964"/>
      <w:bookmarkStart w:id="25" w:name="_Toc9345734"/>
      <w:bookmarkStart w:id="26" w:name="_Toc9410381"/>
      <w:bookmarkStart w:id="27" w:name="_Toc9412615"/>
      <w:bookmarkStart w:id="28" w:name="_Toc11271264"/>
      <w:r>
        <w:rPr>
          <w:rFonts w:hint="eastAsia"/>
          <w:kern w:val="0"/>
          <w:sz w:val="28"/>
          <w:szCs w:val="28"/>
        </w:rPr>
        <w:t>五、改进工作机制，强化科研管理部门责任</w:t>
      </w:r>
      <w:bookmarkEnd w:id="24"/>
      <w:bookmarkEnd w:id="25"/>
      <w:bookmarkEnd w:id="26"/>
      <w:bookmarkEnd w:id="27"/>
      <w:bookmarkEnd w:id="28"/>
    </w:p>
    <w:p w14:paraId="0B2AC48B"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 xml:space="preserve">　　各高校要制定违背科研诚信要求行为调查处理办法，明确调查程序、处理规则、处理措施等具体要求。涉及科研经费使用问题的信访举报，先由高校科研管理部门牵头组织办理。发现存在违规问题的，高校科研管理部门会同有关部门按规定予以通报批评、暂停项目拨款、终止项目执行、追回已</w:t>
      </w:r>
      <w:proofErr w:type="gramStart"/>
      <w:r>
        <w:rPr>
          <w:rFonts w:ascii="仿宋" w:hAnsi="仿宋" w:cs="宋体" w:hint="eastAsia"/>
          <w:color w:val="4B4B4B"/>
          <w:kern w:val="0"/>
          <w:sz w:val="28"/>
          <w:szCs w:val="28"/>
        </w:rPr>
        <w:t>拨项目</w:t>
      </w:r>
      <w:proofErr w:type="gramEnd"/>
      <w:r>
        <w:rPr>
          <w:rFonts w:ascii="仿宋" w:hAnsi="仿宋" w:cs="宋体" w:hint="eastAsia"/>
          <w:color w:val="4B4B4B"/>
          <w:kern w:val="0"/>
          <w:sz w:val="28"/>
          <w:szCs w:val="28"/>
        </w:rPr>
        <w:t>资金、取消项目负责人一定期限内申报</w:t>
      </w:r>
      <w:r>
        <w:rPr>
          <w:rFonts w:ascii="仿宋" w:hAnsi="仿宋" w:cs="宋体" w:hint="eastAsia"/>
          <w:color w:val="4B4B4B"/>
          <w:kern w:val="0"/>
          <w:sz w:val="28"/>
          <w:szCs w:val="28"/>
        </w:rPr>
        <w:t>资格等处罚。涉嫌违纪的，由高校纪委在调查核实基础上运用监督执纪“四种形态”对有关责任人进行处理。涉嫌违法犯罪的，由高校纪委调查核实后按规定移送地方纪委监委审查调查，并配合其依纪依法妥善处理。</w:t>
      </w:r>
    </w:p>
    <w:p w14:paraId="02C2C4F8" w14:textId="77777777" w:rsidR="005355A5" w:rsidRDefault="009A0CAF">
      <w:pPr>
        <w:rPr>
          <w:kern w:val="0"/>
          <w:sz w:val="28"/>
          <w:szCs w:val="28"/>
        </w:rPr>
      </w:pPr>
      <w:r>
        <w:rPr>
          <w:rFonts w:hint="eastAsia"/>
          <w:kern w:val="0"/>
          <w:sz w:val="28"/>
          <w:szCs w:val="28"/>
        </w:rPr>
        <w:t xml:space="preserve">　　</w:t>
      </w:r>
      <w:bookmarkStart w:id="29" w:name="_Toc11271265"/>
      <w:bookmarkStart w:id="30" w:name="_Toc9412616"/>
      <w:bookmarkStart w:id="31" w:name="_Toc9345735"/>
      <w:bookmarkStart w:id="32" w:name="_Toc9410382"/>
      <w:bookmarkStart w:id="33" w:name="_Toc9345965"/>
      <w:r>
        <w:rPr>
          <w:rFonts w:hint="eastAsia"/>
          <w:kern w:val="0"/>
          <w:sz w:val="28"/>
          <w:szCs w:val="28"/>
        </w:rPr>
        <w:t>六、完善监督机制，营造良好科研创新环境</w:t>
      </w:r>
      <w:bookmarkEnd w:id="29"/>
      <w:bookmarkEnd w:id="30"/>
      <w:bookmarkEnd w:id="31"/>
      <w:bookmarkEnd w:id="32"/>
      <w:bookmarkEnd w:id="33"/>
    </w:p>
    <w:p w14:paraId="050B019D"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 xml:space="preserve">　　教育系统纪检监察、审计、巡视巡察等部门要统筹规范各类监督检查，建立检查结果共享机制，最大限度降低对科研活动的干扰。科研项目完成（验收）前，一般不组织开展监督检查。自由探索类基础研究和实施周期</w:t>
      </w:r>
      <w:r>
        <w:rPr>
          <w:rFonts w:ascii="仿宋" w:hAnsi="仿宋" w:cs="宋体" w:hint="eastAsia"/>
          <w:color w:val="4B4B4B"/>
          <w:kern w:val="0"/>
          <w:sz w:val="28"/>
          <w:szCs w:val="28"/>
        </w:rPr>
        <w:t>3</w:t>
      </w:r>
      <w:r>
        <w:rPr>
          <w:rFonts w:ascii="仿宋" w:hAnsi="仿宋" w:cs="宋体" w:hint="eastAsia"/>
          <w:color w:val="4B4B4B"/>
          <w:kern w:val="0"/>
          <w:sz w:val="28"/>
          <w:szCs w:val="28"/>
        </w:rPr>
        <w:t>年以下项目，不作过程检查。各高校纪委要强化政治监督，针对中央政策落实中存在的堵点</w:t>
      </w:r>
      <w:r>
        <w:rPr>
          <w:rFonts w:ascii="仿宋" w:hAnsi="仿宋" w:cs="宋体" w:hint="eastAsia"/>
          <w:color w:val="4B4B4B"/>
          <w:kern w:val="0"/>
          <w:sz w:val="28"/>
          <w:szCs w:val="28"/>
        </w:rPr>
        <w:t>难点、科研人员反映强烈的突出问题，督促有关部门切实加以解决，对不担当、不作为的要严肃问责。高校纪委在监督执纪中要坚持实事求是，充分尊重科研规律，深刻领会中央精神和改革方向，准确把握“三个区分开来”，督促有关部门加强政策制度宣传解读，切实推动营造良好科研创新与育人环境。</w:t>
      </w:r>
    </w:p>
    <w:p w14:paraId="12499B43"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lastRenderedPageBreak/>
        <w:t xml:space="preserve">　　各高校要于</w:t>
      </w:r>
      <w:r>
        <w:rPr>
          <w:rFonts w:ascii="仿宋" w:hAnsi="仿宋" w:cs="宋体" w:hint="eastAsia"/>
          <w:color w:val="4B4B4B"/>
          <w:kern w:val="0"/>
          <w:sz w:val="28"/>
          <w:szCs w:val="28"/>
        </w:rPr>
        <w:t>2019</w:t>
      </w:r>
      <w:r>
        <w:rPr>
          <w:rFonts w:ascii="仿宋" w:hAnsi="仿宋" w:cs="宋体" w:hint="eastAsia"/>
          <w:color w:val="4B4B4B"/>
          <w:kern w:val="0"/>
          <w:sz w:val="28"/>
          <w:szCs w:val="28"/>
        </w:rPr>
        <w:t>年</w:t>
      </w:r>
      <w:r>
        <w:rPr>
          <w:rFonts w:ascii="仿宋" w:hAnsi="仿宋" w:cs="宋体" w:hint="eastAsia"/>
          <w:color w:val="4B4B4B"/>
          <w:kern w:val="0"/>
          <w:sz w:val="28"/>
          <w:szCs w:val="28"/>
        </w:rPr>
        <w:t>6</w:t>
      </w:r>
      <w:r>
        <w:rPr>
          <w:rFonts w:ascii="仿宋" w:hAnsi="仿宋" w:cs="宋体" w:hint="eastAsia"/>
          <w:color w:val="4B4B4B"/>
          <w:kern w:val="0"/>
          <w:sz w:val="28"/>
          <w:szCs w:val="28"/>
        </w:rPr>
        <w:t>月</w:t>
      </w:r>
      <w:r>
        <w:rPr>
          <w:rFonts w:ascii="仿宋" w:hAnsi="仿宋" w:cs="宋体" w:hint="eastAsia"/>
          <w:color w:val="4B4B4B"/>
          <w:kern w:val="0"/>
          <w:sz w:val="28"/>
          <w:szCs w:val="28"/>
        </w:rPr>
        <w:t>30</w:t>
      </w:r>
      <w:r>
        <w:rPr>
          <w:rFonts w:ascii="仿宋" w:hAnsi="仿宋" w:cs="宋体" w:hint="eastAsia"/>
          <w:color w:val="4B4B4B"/>
          <w:kern w:val="0"/>
          <w:sz w:val="28"/>
          <w:szCs w:val="28"/>
        </w:rPr>
        <w:t>日前完成政策清理、修订与制定工作，并将本校贯彻落实科研管理自主权情况报送我部。执行过程中遇到的困难问题以及政策建议请及时反馈。</w:t>
      </w:r>
    </w:p>
    <w:p w14:paraId="2CD61ECA"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 xml:space="preserve">　　联系人：王骁，张拥军</w:t>
      </w:r>
    </w:p>
    <w:p w14:paraId="2D680496"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 xml:space="preserve">　　联系电话：</w:t>
      </w:r>
      <w:r>
        <w:rPr>
          <w:rFonts w:ascii="仿宋" w:hAnsi="仿宋" w:cs="宋体" w:hint="eastAsia"/>
          <w:color w:val="4B4B4B"/>
          <w:kern w:val="0"/>
          <w:sz w:val="28"/>
          <w:szCs w:val="28"/>
        </w:rPr>
        <w:t>010-66096298</w:t>
      </w:r>
    </w:p>
    <w:p w14:paraId="0A84BE7B" w14:textId="77777777" w:rsidR="005355A5" w:rsidRDefault="009A0CAF">
      <w:pPr>
        <w:widowControl/>
        <w:shd w:val="clear" w:color="auto" w:fill="FFFFFF"/>
        <w:snapToGrid w:val="0"/>
        <w:spacing w:line="360" w:lineRule="auto"/>
        <w:jc w:val="left"/>
        <w:rPr>
          <w:rFonts w:ascii="仿宋" w:hAnsi="仿宋" w:cs="宋体"/>
          <w:color w:val="4B4B4B"/>
          <w:kern w:val="0"/>
          <w:sz w:val="28"/>
          <w:szCs w:val="28"/>
        </w:rPr>
      </w:pPr>
      <w:r>
        <w:rPr>
          <w:rFonts w:ascii="仿宋" w:hAnsi="仿宋" w:cs="宋体" w:hint="eastAsia"/>
          <w:color w:val="4B4B4B"/>
          <w:kern w:val="0"/>
          <w:sz w:val="28"/>
          <w:szCs w:val="28"/>
        </w:rPr>
        <w:t xml:space="preserve">　　联系地址：北</w:t>
      </w:r>
      <w:r>
        <w:rPr>
          <w:rFonts w:ascii="仿宋" w:hAnsi="仿宋" w:cs="宋体" w:hint="eastAsia"/>
          <w:color w:val="4B4B4B"/>
          <w:kern w:val="0"/>
          <w:sz w:val="28"/>
          <w:szCs w:val="28"/>
        </w:rPr>
        <w:t>京市西城区西单大木仓胡同</w:t>
      </w:r>
      <w:r>
        <w:rPr>
          <w:rFonts w:ascii="仿宋" w:hAnsi="仿宋" w:cs="宋体" w:hint="eastAsia"/>
          <w:color w:val="4B4B4B"/>
          <w:kern w:val="0"/>
          <w:sz w:val="28"/>
          <w:szCs w:val="28"/>
        </w:rPr>
        <w:t>35</w:t>
      </w:r>
      <w:r>
        <w:rPr>
          <w:rFonts w:ascii="仿宋" w:hAnsi="仿宋" w:cs="宋体" w:hint="eastAsia"/>
          <w:color w:val="4B4B4B"/>
          <w:kern w:val="0"/>
          <w:sz w:val="28"/>
          <w:szCs w:val="28"/>
        </w:rPr>
        <w:t>号，教育部科学技术司</w:t>
      </w:r>
    </w:p>
    <w:p w14:paraId="218C378F" w14:textId="77777777" w:rsidR="005355A5" w:rsidRDefault="009A0CAF">
      <w:pPr>
        <w:widowControl/>
        <w:shd w:val="clear" w:color="auto" w:fill="FFFFFF"/>
        <w:snapToGrid w:val="0"/>
        <w:spacing w:line="360" w:lineRule="auto"/>
        <w:jc w:val="right"/>
        <w:rPr>
          <w:rFonts w:ascii="仿宋" w:hAnsi="仿宋" w:cs="宋体"/>
          <w:color w:val="4B4B4B"/>
          <w:kern w:val="0"/>
          <w:sz w:val="28"/>
          <w:szCs w:val="28"/>
        </w:rPr>
      </w:pPr>
      <w:r>
        <w:rPr>
          <w:rFonts w:ascii="仿宋" w:hAnsi="仿宋" w:cs="宋体" w:hint="eastAsia"/>
          <w:color w:val="4B4B4B"/>
          <w:kern w:val="0"/>
          <w:sz w:val="28"/>
          <w:szCs w:val="28"/>
        </w:rPr>
        <w:t>中共教育部党组</w:t>
      </w:r>
    </w:p>
    <w:p w14:paraId="1B3C33FE" w14:textId="77777777" w:rsidR="005355A5" w:rsidRDefault="009A0CAF">
      <w:pPr>
        <w:jc w:val="right"/>
        <w:rPr>
          <w:sz w:val="28"/>
          <w:szCs w:val="28"/>
        </w:rPr>
      </w:pPr>
      <w:r>
        <w:rPr>
          <w:rFonts w:ascii="仿宋" w:hAnsi="仿宋" w:cs="宋体" w:hint="eastAsia"/>
          <w:color w:val="4B4B4B"/>
          <w:kern w:val="0"/>
          <w:sz w:val="28"/>
          <w:szCs w:val="28"/>
        </w:rPr>
        <w:t>2019</w:t>
      </w:r>
      <w:r>
        <w:rPr>
          <w:rFonts w:ascii="仿宋" w:hAnsi="仿宋" w:cs="宋体" w:hint="eastAsia"/>
          <w:color w:val="4B4B4B"/>
          <w:kern w:val="0"/>
          <w:sz w:val="28"/>
          <w:szCs w:val="28"/>
        </w:rPr>
        <w:t>年</w:t>
      </w:r>
      <w:r>
        <w:rPr>
          <w:rFonts w:ascii="仿宋" w:hAnsi="仿宋" w:cs="宋体" w:hint="eastAsia"/>
          <w:color w:val="4B4B4B"/>
          <w:kern w:val="0"/>
          <w:sz w:val="28"/>
          <w:szCs w:val="28"/>
        </w:rPr>
        <w:t>4</w:t>
      </w:r>
      <w:r>
        <w:rPr>
          <w:rFonts w:ascii="仿宋" w:hAnsi="仿宋" w:cs="宋体" w:hint="eastAsia"/>
          <w:color w:val="4B4B4B"/>
          <w:kern w:val="0"/>
          <w:sz w:val="28"/>
          <w:szCs w:val="28"/>
        </w:rPr>
        <w:t>月</w:t>
      </w:r>
      <w:r>
        <w:rPr>
          <w:rFonts w:ascii="仿宋" w:hAnsi="仿宋" w:cs="宋体" w:hint="eastAsia"/>
          <w:color w:val="4B4B4B"/>
          <w:kern w:val="0"/>
          <w:sz w:val="28"/>
          <w:szCs w:val="28"/>
        </w:rPr>
        <w:t>4</w:t>
      </w:r>
      <w:r>
        <w:rPr>
          <w:rFonts w:ascii="仿宋" w:hAnsi="仿宋" w:cs="宋体" w:hint="eastAsia"/>
          <w:color w:val="4B4B4B"/>
          <w:kern w:val="0"/>
          <w:sz w:val="28"/>
          <w:szCs w:val="28"/>
        </w:rPr>
        <w:t>日</w:t>
      </w:r>
      <w:bookmarkEnd w:id="3"/>
    </w:p>
    <w:sectPr w:rsidR="005355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03E14A6"/>
    <w:rsid w:val="005355A5"/>
    <w:rsid w:val="009A0CAF"/>
    <w:rsid w:val="403E1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D76E11"/>
  <w15:docId w15:val="{B9FF0B10-4C65-4BEC-8248-84E076AF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
      <w:kern w:val="2"/>
      <w:sz w:val="24"/>
      <w:szCs w:val="22"/>
    </w:rPr>
  </w:style>
  <w:style w:type="paragraph" w:styleId="1">
    <w:name w:val="heading 1"/>
    <w:basedOn w:val="a"/>
    <w:next w:val="a"/>
    <w:uiPriority w:val="9"/>
    <w:qFormat/>
    <w:pPr>
      <w:widowControl/>
      <w:spacing w:before="100" w:beforeAutospacing="1" w:after="100" w:afterAutospacing="1"/>
      <w:jc w:val="left"/>
      <w:outlineLvl w:val="0"/>
    </w:pPr>
    <w:rPr>
      <w:rFonts w:ascii="宋体" w:hAnsi="宋体" w:cs="宋体"/>
      <w:b/>
      <w:bCs/>
      <w:kern w:val="36"/>
      <w:sz w:val="2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周冠军</dc:creator>
  <cp:lastModifiedBy>黄享辉</cp:lastModifiedBy>
  <cp:revision>2</cp:revision>
  <dcterms:created xsi:type="dcterms:W3CDTF">2019-06-27T07:05:00Z</dcterms:created>
  <dcterms:modified xsi:type="dcterms:W3CDTF">2019-06-28T02:21:00Z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