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C7F7E" w14:textId="77777777" w:rsidR="00143E6C" w:rsidRDefault="00B15C9C" w:rsidP="00B15C9C">
      <w:pPr>
        <w:pStyle w:val="1"/>
        <w:jc w:val="center"/>
        <w:rPr>
          <w:rFonts w:eastAsia="宋体"/>
          <w:szCs w:val="28"/>
        </w:rPr>
      </w:pPr>
      <w:bookmarkStart w:id="0" w:name="_Toc11879263"/>
      <w:r>
        <w:rPr>
          <w:rFonts w:eastAsia="宋体" w:hint="eastAsia"/>
          <w:szCs w:val="28"/>
        </w:rPr>
        <w:t>关于印发《广东省财政厅</w:t>
      </w:r>
      <w:r>
        <w:rPr>
          <w:rFonts w:eastAsia="宋体" w:hint="eastAsia"/>
          <w:szCs w:val="28"/>
        </w:rPr>
        <w:t xml:space="preserve"> </w:t>
      </w:r>
      <w:r>
        <w:rPr>
          <w:rFonts w:eastAsia="宋体" w:hint="eastAsia"/>
          <w:szCs w:val="28"/>
        </w:rPr>
        <w:t>广东省审计厅关于省级财政科研项目资金的管理监督办法》的通知</w:t>
      </w:r>
      <w:r>
        <w:rPr>
          <w:rFonts w:hint="eastAsia"/>
          <w:szCs w:val="28"/>
        </w:rPr>
        <w:t>2019</w:t>
      </w:r>
      <w:bookmarkEnd w:id="0"/>
    </w:p>
    <w:p w14:paraId="6223E9ED" w14:textId="77777777" w:rsidR="00143E6C" w:rsidRDefault="00B15C9C">
      <w:pPr>
        <w:widowControl/>
        <w:shd w:val="clear" w:color="auto" w:fill="FFFFFF"/>
        <w:adjustRightInd w:val="0"/>
        <w:snapToGrid w:val="0"/>
        <w:spacing w:line="360" w:lineRule="auto"/>
        <w:ind w:left="41" w:right="41"/>
        <w:jc w:val="center"/>
        <w:rPr>
          <w:rFonts w:ascii="仿宋" w:hAnsi="仿宋" w:cs="Arial"/>
          <w:kern w:val="0"/>
          <w:sz w:val="28"/>
          <w:szCs w:val="28"/>
        </w:rPr>
      </w:pPr>
      <w:r>
        <w:rPr>
          <w:rFonts w:ascii="仿宋" w:hAnsi="仿宋" w:cs="Arial" w:hint="eastAsia"/>
          <w:kern w:val="0"/>
          <w:sz w:val="28"/>
          <w:szCs w:val="28"/>
        </w:rPr>
        <w:t>粤财</w:t>
      </w:r>
      <w:proofErr w:type="gramStart"/>
      <w:r>
        <w:rPr>
          <w:rFonts w:ascii="仿宋" w:hAnsi="仿宋" w:cs="Arial" w:hint="eastAsia"/>
          <w:kern w:val="0"/>
          <w:sz w:val="28"/>
          <w:szCs w:val="28"/>
        </w:rPr>
        <w:t>规</w:t>
      </w:r>
      <w:proofErr w:type="gramEnd"/>
      <w:r>
        <w:rPr>
          <w:rFonts w:ascii="仿宋" w:hAnsi="仿宋" w:cs="Arial" w:hint="eastAsia"/>
          <w:kern w:val="0"/>
          <w:sz w:val="28"/>
          <w:szCs w:val="28"/>
        </w:rPr>
        <w:t>〔</w:t>
      </w:r>
      <w:r>
        <w:rPr>
          <w:rFonts w:ascii="仿宋" w:hAnsi="仿宋" w:cs="Arial" w:hint="eastAsia"/>
          <w:kern w:val="0"/>
          <w:sz w:val="28"/>
          <w:szCs w:val="28"/>
        </w:rPr>
        <w:t>2019</w:t>
      </w:r>
      <w:r>
        <w:rPr>
          <w:rFonts w:ascii="仿宋" w:hAnsi="仿宋" w:cs="Arial" w:hint="eastAsia"/>
          <w:kern w:val="0"/>
          <w:sz w:val="28"/>
          <w:szCs w:val="28"/>
        </w:rPr>
        <w:t>〕</w:t>
      </w:r>
      <w:r>
        <w:rPr>
          <w:rFonts w:ascii="仿宋" w:hAnsi="仿宋" w:cs="Arial" w:hint="eastAsia"/>
          <w:kern w:val="0"/>
          <w:sz w:val="28"/>
          <w:szCs w:val="28"/>
        </w:rPr>
        <w:t>5</w:t>
      </w:r>
      <w:r>
        <w:rPr>
          <w:rFonts w:ascii="仿宋" w:hAnsi="仿宋" w:cs="Arial" w:hint="eastAsia"/>
          <w:kern w:val="0"/>
          <w:sz w:val="28"/>
          <w:szCs w:val="28"/>
        </w:rPr>
        <w:t>号</w:t>
      </w:r>
    </w:p>
    <w:p w14:paraId="16D20B2E"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省直各单位，中直驻粤各单位，省各人民团体：</w:t>
      </w:r>
    </w:p>
    <w:p w14:paraId="1303B4A3"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为贯彻中央和省关于科技领域“放管服”改革精神，规范省级财政科研项目资金管理，落实科研机构和科研人员经费管理自主权，经省人民政府同意，现将《广东省财政厅</w:t>
      </w:r>
      <w:r>
        <w:rPr>
          <w:rFonts w:ascii="仿宋" w:hAnsi="仿宋" w:cs="Arial" w:hint="eastAsia"/>
          <w:kern w:val="0"/>
          <w:sz w:val="28"/>
          <w:szCs w:val="28"/>
        </w:rPr>
        <w:t xml:space="preserve"> </w:t>
      </w:r>
      <w:r>
        <w:rPr>
          <w:rFonts w:ascii="仿宋" w:hAnsi="仿宋" w:cs="Arial" w:hint="eastAsia"/>
          <w:kern w:val="0"/>
          <w:sz w:val="28"/>
          <w:szCs w:val="28"/>
        </w:rPr>
        <w:t>广东省审计厅关于省级财政科研项目资金的管理监督办法》印发给你们，请遵照执行。</w:t>
      </w:r>
    </w:p>
    <w:p w14:paraId="10358B4A" w14:textId="77777777" w:rsidR="00143E6C" w:rsidRDefault="00B15C9C">
      <w:pPr>
        <w:widowControl/>
        <w:shd w:val="clear" w:color="auto" w:fill="FFFFFF"/>
        <w:adjustRightInd w:val="0"/>
        <w:snapToGrid w:val="0"/>
        <w:spacing w:line="360" w:lineRule="auto"/>
        <w:ind w:left="41" w:right="41"/>
        <w:jc w:val="right"/>
        <w:rPr>
          <w:rFonts w:ascii="仿宋" w:hAnsi="仿宋" w:cs="Arial"/>
          <w:kern w:val="0"/>
          <w:sz w:val="28"/>
          <w:szCs w:val="28"/>
        </w:rPr>
      </w:pPr>
      <w:r>
        <w:rPr>
          <w:rFonts w:ascii="仿宋" w:hAnsi="仿宋" w:cs="Arial" w:hint="eastAsia"/>
          <w:kern w:val="0"/>
          <w:sz w:val="28"/>
          <w:szCs w:val="28"/>
        </w:rPr>
        <w:t>广东省财政厅</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广东省审计厅</w:t>
      </w:r>
    </w:p>
    <w:p w14:paraId="712D4097" w14:textId="77777777" w:rsidR="00143E6C" w:rsidRDefault="00B15C9C">
      <w:pPr>
        <w:widowControl/>
        <w:shd w:val="clear" w:color="auto" w:fill="FFFFFF"/>
        <w:adjustRightInd w:val="0"/>
        <w:snapToGrid w:val="0"/>
        <w:spacing w:line="360" w:lineRule="auto"/>
        <w:ind w:left="41" w:right="41"/>
        <w:jc w:val="right"/>
        <w:rPr>
          <w:rFonts w:ascii="仿宋" w:hAnsi="仿宋" w:cs="Arial"/>
          <w:kern w:val="0"/>
          <w:sz w:val="28"/>
          <w:szCs w:val="28"/>
        </w:rPr>
      </w:pP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微软雅黑" w:hAnsi="微软雅黑" w:cs="Arial" w:hint="eastAsia"/>
          <w:kern w:val="0"/>
          <w:sz w:val="28"/>
          <w:szCs w:val="28"/>
        </w:rPr>
        <w:t> </w:t>
      </w:r>
      <w:r>
        <w:rPr>
          <w:rFonts w:ascii="仿宋" w:hAnsi="仿宋" w:cs="Arial" w:hint="eastAsia"/>
          <w:kern w:val="0"/>
          <w:sz w:val="28"/>
          <w:szCs w:val="28"/>
        </w:rPr>
        <w:t xml:space="preserve"> 2019</w:t>
      </w:r>
      <w:r>
        <w:rPr>
          <w:rFonts w:ascii="仿宋" w:hAnsi="仿宋" w:cs="Arial" w:hint="eastAsia"/>
          <w:kern w:val="0"/>
          <w:sz w:val="28"/>
          <w:szCs w:val="28"/>
        </w:rPr>
        <w:t>年</w:t>
      </w:r>
      <w:r>
        <w:rPr>
          <w:rFonts w:ascii="仿宋" w:hAnsi="仿宋" w:cs="Arial" w:hint="eastAsia"/>
          <w:kern w:val="0"/>
          <w:sz w:val="28"/>
          <w:szCs w:val="28"/>
        </w:rPr>
        <w:t>6</w:t>
      </w:r>
      <w:r>
        <w:rPr>
          <w:rFonts w:ascii="仿宋" w:hAnsi="仿宋" w:cs="Arial" w:hint="eastAsia"/>
          <w:kern w:val="0"/>
          <w:sz w:val="28"/>
          <w:szCs w:val="28"/>
        </w:rPr>
        <w:t>月</w:t>
      </w:r>
      <w:r>
        <w:rPr>
          <w:rFonts w:ascii="仿宋" w:hAnsi="仿宋" w:cs="Arial" w:hint="eastAsia"/>
          <w:kern w:val="0"/>
          <w:sz w:val="28"/>
          <w:szCs w:val="28"/>
        </w:rPr>
        <w:t>5</w:t>
      </w:r>
      <w:r>
        <w:rPr>
          <w:rFonts w:ascii="仿宋" w:hAnsi="仿宋" w:cs="Arial" w:hint="eastAsia"/>
          <w:kern w:val="0"/>
          <w:sz w:val="28"/>
          <w:szCs w:val="28"/>
        </w:rPr>
        <w:t>日</w:t>
      </w:r>
    </w:p>
    <w:p w14:paraId="7013CF39" w14:textId="77777777" w:rsidR="00143E6C" w:rsidRDefault="00B15C9C">
      <w:pPr>
        <w:widowControl/>
        <w:shd w:val="clear" w:color="auto" w:fill="FFFFFF"/>
        <w:adjustRightInd w:val="0"/>
        <w:snapToGrid w:val="0"/>
        <w:spacing w:line="360" w:lineRule="auto"/>
        <w:ind w:left="41" w:right="41"/>
        <w:jc w:val="center"/>
        <w:rPr>
          <w:rFonts w:ascii="仿宋" w:hAnsi="仿宋" w:cs="Arial"/>
          <w:kern w:val="0"/>
          <w:sz w:val="28"/>
          <w:szCs w:val="28"/>
        </w:rPr>
      </w:pPr>
      <w:r>
        <w:rPr>
          <w:rFonts w:ascii="仿宋" w:hAnsi="仿宋" w:cs="Arial" w:hint="eastAsia"/>
          <w:b/>
          <w:bCs/>
          <w:kern w:val="0"/>
          <w:sz w:val="28"/>
          <w:szCs w:val="28"/>
        </w:rPr>
        <w:t>广东省财政厅</w:t>
      </w:r>
      <w:r>
        <w:rPr>
          <w:rFonts w:ascii="仿宋" w:hAnsi="仿宋" w:cs="Arial" w:hint="eastAsia"/>
          <w:b/>
          <w:bCs/>
          <w:kern w:val="0"/>
          <w:sz w:val="28"/>
          <w:szCs w:val="28"/>
        </w:rPr>
        <w:t xml:space="preserve"> </w:t>
      </w:r>
      <w:r>
        <w:rPr>
          <w:rFonts w:ascii="仿宋" w:hAnsi="仿宋" w:cs="Arial" w:hint="eastAsia"/>
          <w:b/>
          <w:bCs/>
          <w:kern w:val="0"/>
          <w:sz w:val="28"/>
          <w:szCs w:val="28"/>
        </w:rPr>
        <w:t>广东省审计厅关于省级财政科研项目资金的管理监督办法</w:t>
      </w:r>
    </w:p>
    <w:p w14:paraId="4301ACFA" w14:textId="77777777" w:rsidR="00143E6C" w:rsidRDefault="00B15C9C">
      <w:pPr>
        <w:widowControl/>
        <w:shd w:val="clear" w:color="auto" w:fill="FFFFFF"/>
        <w:adjustRightInd w:val="0"/>
        <w:snapToGrid w:val="0"/>
        <w:spacing w:line="360" w:lineRule="auto"/>
        <w:ind w:left="41" w:right="41"/>
        <w:jc w:val="center"/>
        <w:rPr>
          <w:rFonts w:ascii="仿宋" w:hAnsi="仿宋" w:cs="Arial"/>
          <w:kern w:val="0"/>
          <w:sz w:val="28"/>
          <w:szCs w:val="28"/>
        </w:rPr>
      </w:pPr>
      <w:r>
        <w:rPr>
          <w:rFonts w:ascii="仿宋" w:hAnsi="仿宋" w:cs="Arial" w:hint="eastAsia"/>
          <w:b/>
          <w:bCs/>
          <w:kern w:val="0"/>
          <w:sz w:val="28"/>
          <w:szCs w:val="28"/>
        </w:rPr>
        <w:t>第一章　总　则</w:t>
      </w:r>
    </w:p>
    <w:p w14:paraId="3255C29F"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第一条</w:t>
      </w:r>
      <w:r>
        <w:rPr>
          <w:rFonts w:ascii="仿宋" w:hAnsi="仿宋" w:cs="Arial" w:hint="eastAsia"/>
          <w:b/>
          <w:bCs/>
          <w:kern w:val="0"/>
          <w:sz w:val="28"/>
          <w:szCs w:val="28"/>
        </w:rPr>
        <w:t xml:space="preserve"> </w:t>
      </w:r>
      <w:r>
        <w:rPr>
          <w:rFonts w:ascii="仿宋" w:hAnsi="仿宋" w:cs="Arial" w:hint="eastAsia"/>
          <w:kern w:val="0"/>
          <w:sz w:val="28"/>
          <w:szCs w:val="28"/>
        </w:rPr>
        <w:t>根据党中央、国务院推进科技领域“放管服”改革精神和省委、省政府进一步促进科技创新的要求，依据《中共广东省委办公厅</w:t>
      </w:r>
      <w:r>
        <w:rPr>
          <w:rFonts w:ascii="微软雅黑" w:hAnsi="微软雅黑" w:cs="Arial" w:hint="eastAsia"/>
          <w:kern w:val="0"/>
          <w:sz w:val="28"/>
          <w:szCs w:val="28"/>
        </w:rPr>
        <w:t> </w:t>
      </w:r>
      <w:r>
        <w:rPr>
          <w:rFonts w:ascii="仿宋" w:hAnsi="仿宋" w:cs="Arial" w:hint="eastAsia"/>
          <w:kern w:val="0"/>
          <w:sz w:val="28"/>
          <w:szCs w:val="28"/>
        </w:rPr>
        <w:t xml:space="preserve"> </w:t>
      </w:r>
      <w:r>
        <w:rPr>
          <w:rFonts w:ascii="仿宋" w:hAnsi="仿宋" w:cs="Arial" w:hint="eastAsia"/>
          <w:kern w:val="0"/>
          <w:sz w:val="28"/>
          <w:szCs w:val="28"/>
        </w:rPr>
        <w:t>广东省人民政府办公厅印发〈关于进一步完善省级财政科研项目资金管理等政策的实施意见（试行）〉的通知》（粤委办〔</w:t>
      </w:r>
      <w:r>
        <w:rPr>
          <w:rFonts w:ascii="仿宋" w:hAnsi="仿宋" w:cs="Arial" w:hint="eastAsia"/>
          <w:kern w:val="0"/>
          <w:sz w:val="28"/>
          <w:szCs w:val="28"/>
        </w:rPr>
        <w:t>2017</w:t>
      </w:r>
      <w:r>
        <w:rPr>
          <w:rFonts w:ascii="仿宋" w:hAnsi="仿宋" w:cs="Arial" w:hint="eastAsia"/>
          <w:kern w:val="0"/>
          <w:sz w:val="28"/>
          <w:szCs w:val="28"/>
        </w:rPr>
        <w:t>〕</w:t>
      </w:r>
      <w:r>
        <w:rPr>
          <w:rFonts w:ascii="仿宋" w:hAnsi="仿宋" w:cs="Arial" w:hint="eastAsia"/>
          <w:kern w:val="0"/>
          <w:sz w:val="28"/>
          <w:szCs w:val="28"/>
        </w:rPr>
        <w:t>13</w:t>
      </w:r>
      <w:r>
        <w:rPr>
          <w:rFonts w:ascii="仿宋" w:hAnsi="仿宋" w:cs="Arial" w:hint="eastAsia"/>
          <w:kern w:val="0"/>
          <w:sz w:val="28"/>
          <w:szCs w:val="28"/>
        </w:rPr>
        <w:t>号）、《广东省人民政府印发关于进一步促进科技创新若干政策措施的通知》（粤府〔</w:t>
      </w:r>
      <w:r>
        <w:rPr>
          <w:rFonts w:ascii="仿宋" w:hAnsi="仿宋" w:cs="Arial" w:hint="eastAsia"/>
          <w:kern w:val="0"/>
          <w:sz w:val="28"/>
          <w:szCs w:val="28"/>
        </w:rPr>
        <w:t>2019</w:t>
      </w:r>
      <w:r>
        <w:rPr>
          <w:rFonts w:ascii="仿宋" w:hAnsi="仿宋" w:cs="Arial" w:hint="eastAsia"/>
          <w:kern w:val="0"/>
          <w:sz w:val="28"/>
          <w:szCs w:val="28"/>
        </w:rPr>
        <w:t>〕</w:t>
      </w:r>
      <w:r>
        <w:rPr>
          <w:rFonts w:ascii="仿宋" w:hAnsi="仿宋" w:cs="Arial" w:hint="eastAsia"/>
          <w:kern w:val="0"/>
          <w:sz w:val="28"/>
          <w:szCs w:val="28"/>
        </w:rPr>
        <w:t>1</w:t>
      </w:r>
      <w:r>
        <w:rPr>
          <w:rFonts w:ascii="仿宋" w:hAnsi="仿宋" w:cs="Arial" w:hint="eastAsia"/>
          <w:kern w:val="0"/>
          <w:sz w:val="28"/>
          <w:szCs w:val="28"/>
        </w:rPr>
        <w:t>号）等规定，为规范省级财政科研项目资金管理，提升科研项目资金绩效，落实科研机构和科研人员经费管理自主权，激发创新活力，特制定本办法。</w:t>
      </w:r>
    </w:p>
    <w:p w14:paraId="1F181266"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第二条</w:t>
      </w:r>
      <w:r>
        <w:rPr>
          <w:rFonts w:ascii="仿宋" w:hAnsi="仿宋" w:cs="Arial" w:hint="eastAsia"/>
          <w:b/>
          <w:bCs/>
          <w:kern w:val="0"/>
          <w:sz w:val="28"/>
          <w:szCs w:val="28"/>
        </w:rPr>
        <w:t xml:space="preserve"> </w:t>
      </w:r>
      <w:r>
        <w:rPr>
          <w:rFonts w:ascii="仿宋" w:hAnsi="仿宋" w:cs="Arial" w:hint="eastAsia"/>
          <w:kern w:val="0"/>
          <w:sz w:val="28"/>
          <w:szCs w:val="28"/>
        </w:rPr>
        <w:t>本办法适用于以科学研究为目的，涵盖基础研究、应用研究、技术研究与开发、科技条件与平台建设、科技交流与合作等</w:t>
      </w:r>
      <w:r>
        <w:rPr>
          <w:rFonts w:ascii="仿宋" w:hAnsi="仿宋" w:cs="Arial" w:hint="eastAsia"/>
          <w:kern w:val="0"/>
          <w:sz w:val="28"/>
          <w:szCs w:val="28"/>
        </w:rPr>
        <w:lastRenderedPageBreak/>
        <w:t>活动，以项目制方式由省直部门立项或项目承担单位自</w:t>
      </w:r>
      <w:r>
        <w:rPr>
          <w:rFonts w:ascii="仿宋" w:hAnsi="仿宋" w:cs="Arial" w:hint="eastAsia"/>
          <w:kern w:val="0"/>
          <w:sz w:val="28"/>
          <w:szCs w:val="28"/>
        </w:rPr>
        <w:t>主立项管理的省级财政科研项目资金。</w:t>
      </w:r>
    </w:p>
    <w:p w14:paraId="79869537"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以稳定性支持、后补助等非项目制方式安排的省级财政科研资金，由资金使用单位自主统筹管理使用（国家和省另有规定的除外）。</w:t>
      </w:r>
    </w:p>
    <w:p w14:paraId="3B1747BB"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项目承担单位以市场委托方式取得的横向经费，纳入单位财务统一管理，由项目承担单位按照委托方要求或合同约定自主使用，不适用本办法。</w:t>
      </w:r>
    </w:p>
    <w:p w14:paraId="0727A861"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第三条</w:t>
      </w:r>
      <w:r>
        <w:rPr>
          <w:rFonts w:ascii="仿宋" w:hAnsi="仿宋" w:cs="Arial" w:hint="eastAsia"/>
          <w:kern w:val="0"/>
          <w:sz w:val="28"/>
          <w:szCs w:val="28"/>
        </w:rPr>
        <w:t xml:space="preserve"> </w:t>
      </w:r>
      <w:r>
        <w:rPr>
          <w:rFonts w:ascii="仿宋" w:hAnsi="仿宋" w:cs="Arial" w:hint="eastAsia"/>
          <w:kern w:val="0"/>
          <w:sz w:val="28"/>
          <w:szCs w:val="28"/>
        </w:rPr>
        <w:t>科研项目资金管理遵循“尊重规律、优化流程，充分放权、明确职责，强化激励、突出绩效，专账核算、规范管理”原则。</w:t>
      </w:r>
    </w:p>
    <w:p w14:paraId="177343BE"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第四条</w:t>
      </w:r>
      <w:r>
        <w:rPr>
          <w:rFonts w:ascii="仿宋" w:hAnsi="仿宋" w:cs="Arial" w:hint="eastAsia"/>
          <w:b/>
          <w:bCs/>
          <w:kern w:val="0"/>
          <w:sz w:val="28"/>
          <w:szCs w:val="28"/>
        </w:rPr>
        <w:t xml:space="preserve"> </w:t>
      </w:r>
      <w:r>
        <w:rPr>
          <w:rFonts w:ascii="仿宋" w:hAnsi="仿宋" w:cs="Arial" w:hint="eastAsia"/>
          <w:kern w:val="0"/>
          <w:sz w:val="28"/>
          <w:szCs w:val="28"/>
        </w:rPr>
        <w:t>科研项目资金使用应遵照实事求是、精简高效、厉行节约、倡导共享的原则。</w:t>
      </w:r>
    </w:p>
    <w:p w14:paraId="3BFA93D6" w14:textId="77777777" w:rsidR="00143E6C" w:rsidRDefault="00B15C9C">
      <w:pPr>
        <w:widowControl/>
        <w:shd w:val="clear" w:color="auto" w:fill="FFFFFF"/>
        <w:adjustRightInd w:val="0"/>
        <w:snapToGrid w:val="0"/>
        <w:spacing w:line="360" w:lineRule="auto"/>
        <w:ind w:left="41" w:right="41"/>
        <w:jc w:val="center"/>
        <w:rPr>
          <w:rFonts w:ascii="仿宋" w:hAnsi="仿宋" w:cs="Arial"/>
          <w:kern w:val="0"/>
          <w:sz w:val="28"/>
          <w:szCs w:val="28"/>
        </w:rPr>
      </w:pPr>
      <w:r>
        <w:rPr>
          <w:rFonts w:ascii="仿宋" w:hAnsi="仿宋" w:cs="Arial" w:hint="eastAsia"/>
          <w:b/>
          <w:bCs/>
          <w:kern w:val="0"/>
          <w:sz w:val="28"/>
          <w:szCs w:val="28"/>
        </w:rPr>
        <w:t>第二章　职责分工</w:t>
      </w:r>
    </w:p>
    <w:p w14:paraId="17063AFB"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第五条</w:t>
      </w:r>
      <w:r>
        <w:rPr>
          <w:rFonts w:ascii="仿宋" w:hAnsi="仿宋" w:cs="Arial" w:hint="eastAsia"/>
          <w:b/>
          <w:bCs/>
          <w:kern w:val="0"/>
          <w:sz w:val="28"/>
          <w:szCs w:val="28"/>
        </w:rPr>
        <w:t xml:space="preserve"> </w:t>
      </w:r>
      <w:r>
        <w:rPr>
          <w:rFonts w:ascii="仿宋" w:hAnsi="仿宋" w:cs="Arial" w:hint="eastAsia"/>
          <w:kern w:val="0"/>
          <w:sz w:val="28"/>
          <w:szCs w:val="28"/>
        </w:rPr>
        <w:t>科研项目资金按照“谁使用、谁负责”原则，由项目承担单位和项目负责人自主管理使用。按照“谁立项、谁监管”原则，由省直部门承担政策指导和资金监管责任。</w:t>
      </w:r>
    </w:p>
    <w:p w14:paraId="65117889"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第六条</w:t>
      </w:r>
      <w:r>
        <w:rPr>
          <w:rFonts w:ascii="仿宋" w:hAnsi="仿宋" w:cs="Arial" w:hint="eastAsia"/>
          <w:b/>
          <w:bCs/>
          <w:kern w:val="0"/>
          <w:sz w:val="28"/>
          <w:szCs w:val="28"/>
        </w:rPr>
        <w:t xml:space="preserve"> </w:t>
      </w:r>
      <w:r>
        <w:rPr>
          <w:rFonts w:ascii="仿宋" w:hAnsi="仿宋" w:cs="Arial" w:hint="eastAsia"/>
          <w:kern w:val="0"/>
          <w:sz w:val="28"/>
          <w:szCs w:val="28"/>
        </w:rPr>
        <w:t>项目承担单位是科研项目资金管理的责任主体，自主管理使用本单位科研项目资金，具体职责包括：</w:t>
      </w:r>
    </w:p>
    <w:p w14:paraId="6A4A194D"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一）制定并完善本单位财务、资产、政府采购、绩效评价、成果转化及与此相关的科研、人事、科研诚信及科研伦理等内部管理制度和实施办法。明确本单位科研项目预算调剂、间接费用统筹、劳务费人员费开支管理、绩效支出分配、结题财务审计、结余资金使用、成果转化收</w:t>
      </w:r>
      <w:r>
        <w:rPr>
          <w:rFonts w:ascii="仿宋" w:hAnsi="仿宋" w:cs="Arial" w:hint="eastAsia"/>
          <w:kern w:val="0"/>
          <w:sz w:val="28"/>
          <w:szCs w:val="28"/>
        </w:rPr>
        <w:t>益分配、急需科研设备耗材采购等管理权限和审核流程。</w:t>
      </w:r>
    </w:p>
    <w:p w14:paraId="37B990A4"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lastRenderedPageBreak/>
        <w:t xml:space="preserve">　　（二）负责预算审核把关，规范财务支出行为，建立岗位分离、内部约束的内部风险防控机制，完善项目资金使用监督检查和绩效评价。</w:t>
      </w:r>
    </w:p>
    <w:p w14:paraId="64EEAC1B"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（三）负责本单位科研项目资金监管，实行专账核算，定期向项目主管部门报告项目实施、资金使用情况。因故终止或撤销的项目须及时向项目主管部门报批，并按要求退回财政资金。</w:t>
      </w:r>
    </w:p>
    <w:p w14:paraId="334D816B"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（四）实行内部公开制度，定期公开科研项目预算、预算调整、资金使用、资金结余、科研成果等项目信息。</w:t>
      </w:r>
    </w:p>
    <w:p w14:paraId="3F6AB825"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（五）建立科研财务助理制度，为科研人员提供专业化服务。</w:t>
      </w:r>
    </w:p>
    <w:p w14:paraId="7C2727D9"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第七条</w:t>
      </w:r>
      <w:r>
        <w:rPr>
          <w:rFonts w:ascii="仿宋" w:hAnsi="仿宋" w:cs="Arial" w:hint="eastAsia"/>
          <w:b/>
          <w:bCs/>
          <w:kern w:val="0"/>
          <w:sz w:val="28"/>
          <w:szCs w:val="28"/>
        </w:rPr>
        <w:t xml:space="preserve"> </w:t>
      </w:r>
      <w:r>
        <w:rPr>
          <w:rFonts w:ascii="仿宋" w:hAnsi="仿宋" w:cs="Arial" w:hint="eastAsia"/>
          <w:kern w:val="0"/>
          <w:sz w:val="28"/>
          <w:szCs w:val="28"/>
        </w:rPr>
        <w:t>项目负责人是科研项目资金使用的直接责任人，对项目资金使用的真实性、合法性、合</w:t>
      </w:r>
      <w:proofErr w:type="gramStart"/>
      <w:r>
        <w:rPr>
          <w:rFonts w:ascii="仿宋" w:hAnsi="仿宋" w:cs="Arial" w:hint="eastAsia"/>
          <w:kern w:val="0"/>
          <w:sz w:val="28"/>
          <w:szCs w:val="28"/>
        </w:rPr>
        <w:t>规</w:t>
      </w:r>
      <w:proofErr w:type="gramEnd"/>
      <w:r>
        <w:rPr>
          <w:rFonts w:ascii="仿宋" w:hAnsi="仿宋" w:cs="Arial" w:hint="eastAsia"/>
          <w:kern w:val="0"/>
          <w:sz w:val="28"/>
          <w:szCs w:val="28"/>
        </w:rPr>
        <w:t>性和相关性负责，具体职责包括：</w:t>
      </w:r>
    </w:p>
    <w:p w14:paraId="0530A9D2"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（一）据实编制项目预算和绩效目标，组织预算执行，真实编列项目决算。</w:t>
      </w:r>
    </w:p>
    <w:p w14:paraId="36EF85AD"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（二）建立并落实科研项目日志管理制度，据实记录科研项目研究方向和技术路线调整、研究团队人员变动、预算调整、资金使用、设备和耗材使用情况等内容，真实反映科</w:t>
      </w:r>
      <w:r>
        <w:rPr>
          <w:rFonts w:ascii="仿宋" w:hAnsi="仿宋" w:cs="Arial" w:hint="eastAsia"/>
          <w:kern w:val="0"/>
          <w:sz w:val="28"/>
          <w:szCs w:val="28"/>
        </w:rPr>
        <w:t>研项目研究过程及资金开支情况。</w:t>
      </w:r>
    </w:p>
    <w:p w14:paraId="1DE81405"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（三）对因故需终止实施的项目，须提出明确处理意见并及时报告项目承担单位。</w:t>
      </w:r>
    </w:p>
    <w:p w14:paraId="6B54B2F2"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第八条</w:t>
      </w:r>
      <w:r>
        <w:rPr>
          <w:rFonts w:ascii="仿宋" w:hAnsi="仿宋" w:cs="Arial" w:hint="eastAsia"/>
          <w:kern w:val="0"/>
          <w:sz w:val="28"/>
          <w:szCs w:val="28"/>
        </w:rPr>
        <w:t xml:space="preserve"> </w:t>
      </w:r>
      <w:r>
        <w:rPr>
          <w:rFonts w:ascii="仿宋" w:hAnsi="仿宋" w:cs="Arial" w:hint="eastAsia"/>
          <w:kern w:val="0"/>
          <w:sz w:val="28"/>
          <w:szCs w:val="28"/>
        </w:rPr>
        <w:t>省项目主管部门是本部门科研项目资金的分配和监管主体，具体职责包括：</w:t>
      </w:r>
    </w:p>
    <w:p w14:paraId="2B61D16C"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（一）组织科研项目论证评审，编制资金分配方案和绩效目标。</w:t>
      </w:r>
    </w:p>
    <w:p w14:paraId="62ABD81A"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（二）指导下属单位完善项目管理、内控制度，适时开展项目管理自主权落实情况核查。监督项目承担单位规范管理，提高科研项目绩效。</w:t>
      </w:r>
    </w:p>
    <w:p w14:paraId="758E3C4D"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lastRenderedPageBreak/>
        <w:t xml:space="preserve">　　（三）组织开展项目实施期末综合绩效评价，完善评价结果应用。</w:t>
      </w:r>
    </w:p>
    <w:p w14:paraId="6CAC5486"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（四）对因故需终止实施的项目，核定剩余项目资金并提出明确处理意见</w:t>
      </w:r>
      <w:r>
        <w:rPr>
          <w:rFonts w:ascii="仿宋" w:hAnsi="仿宋" w:cs="Arial" w:hint="eastAsia"/>
          <w:kern w:val="0"/>
          <w:sz w:val="28"/>
          <w:szCs w:val="28"/>
        </w:rPr>
        <w:t>报送省财政部门。对需</w:t>
      </w:r>
      <w:proofErr w:type="gramStart"/>
      <w:r>
        <w:rPr>
          <w:rFonts w:ascii="仿宋" w:hAnsi="仿宋" w:cs="Arial" w:hint="eastAsia"/>
          <w:kern w:val="0"/>
          <w:sz w:val="28"/>
          <w:szCs w:val="28"/>
        </w:rPr>
        <w:t>收回省</w:t>
      </w:r>
      <w:proofErr w:type="gramEnd"/>
      <w:r>
        <w:rPr>
          <w:rFonts w:ascii="仿宋" w:hAnsi="仿宋" w:cs="Arial" w:hint="eastAsia"/>
          <w:kern w:val="0"/>
          <w:sz w:val="28"/>
          <w:szCs w:val="28"/>
        </w:rPr>
        <w:t>财政统筹使用的，配合省财政部门收回项目财政资金。</w:t>
      </w:r>
    </w:p>
    <w:p w14:paraId="2A3390F1"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（五）落实科研诚信管理和联合惩戒机制，对严重违背科研诚信和科研伦理要求的项目承担单位和科研人员，会同相关部门实施责任追究，联合惩戒。</w:t>
      </w:r>
    </w:p>
    <w:p w14:paraId="174C358F"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第九条</w:t>
      </w:r>
      <w:r>
        <w:rPr>
          <w:rFonts w:ascii="仿宋" w:hAnsi="仿宋" w:cs="Arial" w:hint="eastAsia"/>
          <w:b/>
          <w:bCs/>
          <w:kern w:val="0"/>
          <w:sz w:val="28"/>
          <w:szCs w:val="28"/>
        </w:rPr>
        <w:t xml:space="preserve"> </w:t>
      </w:r>
      <w:r>
        <w:rPr>
          <w:rFonts w:ascii="仿宋" w:hAnsi="仿宋" w:cs="Arial" w:hint="eastAsia"/>
          <w:kern w:val="0"/>
          <w:sz w:val="28"/>
          <w:szCs w:val="28"/>
        </w:rPr>
        <w:t>省财政部门负责制订省级财政科研项目资金管理办法，根据项目主管部门编制的资金分配方案及时拨付项目资金，不直接参与科研项目审批、管理，具体职责包括：</w:t>
      </w:r>
    </w:p>
    <w:p w14:paraId="61AF77C7"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（一）制订省级财政科研项目资金管理办法。</w:t>
      </w:r>
    </w:p>
    <w:p w14:paraId="2392FC6A"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（二）建立科研项目资金拨付、政府采购绿色通道。</w:t>
      </w:r>
    </w:p>
    <w:p w14:paraId="58EA304B"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（三）开展资金使用管理情况抽查，指导单</w:t>
      </w:r>
      <w:r>
        <w:rPr>
          <w:rFonts w:ascii="仿宋" w:hAnsi="仿宋" w:cs="Arial" w:hint="eastAsia"/>
          <w:kern w:val="0"/>
          <w:sz w:val="28"/>
          <w:szCs w:val="28"/>
        </w:rPr>
        <w:t>位完善资金管理制度。</w:t>
      </w:r>
    </w:p>
    <w:p w14:paraId="2B4B9985"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（四）及时收回经省项目主管部门确认需终止实施的项目财政资金。</w:t>
      </w:r>
    </w:p>
    <w:p w14:paraId="0E4D48DA"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第十条</w:t>
      </w:r>
      <w:r>
        <w:rPr>
          <w:rFonts w:ascii="仿宋" w:hAnsi="仿宋" w:cs="Arial" w:hint="eastAsia"/>
          <w:b/>
          <w:bCs/>
          <w:kern w:val="0"/>
          <w:sz w:val="28"/>
          <w:szCs w:val="28"/>
        </w:rPr>
        <w:t xml:space="preserve"> </w:t>
      </w:r>
      <w:r>
        <w:rPr>
          <w:rFonts w:ascii="仿宋" w:hAnsi="仿宋" w:cs="Arial" w:hint="eastAsia"/>
          <w:kern w:val="0"/>
          <w:sz w:val="28"/>
          <w:szCs w:val="28"/>
        </w:rPr>
        <w:t>省审计机关依法对省级财政科研项目资金的管理使用和绩效情况进行审计监督，具体职责包括：</w:t>
      </w:r>
    </w:p>
    <w:p w14:paraId="45F09C40"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（一）依照《中华人民共和国审计法》及其实施条例，根据年度审计计划安排或审计工作需要，开展相关科技创新政策落实以及科研项目资金管理使用和绩效情况的审计或审计调查。</w:t>
      </w:r>
    </w:p>
    <w:p w14:paraId="3AA720E9"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（二）对开展的审计或审计调查事项出具相应的审计结论文书，必要时进行公告。</w:t>
      </w:r>
    </w:p>
    <w:p w14:paraId="38A6666F"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lastRenderedPageBreak/>
        <w:t xml:space="preserve">　　（三）监督有关部门、项目承担单位或个人及时整改审计发现问题。</w:t>
      </w:r>
    </w:p>
    <w:p w14:paraId="62B4775B" w14:textId="77777777" w:rsidR="00143E6C" w:rsidRDefault="00B15C9C">
      <w:pPr>
        <w:widowControl/>
        <w:shd w:val="clear" w:color="auto" w:fill="FFFFFF"/>
        <w:adjustRightInd w:val="0"/>
        <w:snapToGrid w:val="0"/>
        <w:spacing w:line="360" w:lineRule="auto"/>
        <w:ind w:left="41" w:right="41"/>
        <w:jc w:val="center"/>
        <w:rPr>
          <w:rFonts w:ascii="仿宋" w:hAnsi="仿宋" w:cs="Arial"/>
          <w:kern w:val="0"/>
          <w:sz w:val="28"/>
          <w:szCs w:val="28"/>
        </w:rPr>
      </w:pPr>
      <w:r>
        <w:rPr>
          <w:rFonts w:ascii="仿宋" w:hAnsi="仿宋" w:cs="Arial" w:hint="eastAsia"/>
          <w:b/>
          <w:bCs/>
          <w:kern w:val="0"/>
          <w:sz w:val="28"/>
          <w:szCs w:val="28"/>
        </w:rPr>
        <w:t>第三章　项目资金开支范围</w:t>
      </w:r>
    </w:p>
    <w:p w14:paraId="4053BF64"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第十一条</w:t>
      </w:r>
      <w:r>
        <w:rPr>
          <w:rFonts w:ascii="仿宋" w:hAnsi="仿宋" w:cs="Arial" w:hint="eastAsia"/>
          <w:kern w:val="0"/>
          <w:sz w:val="28"/>
          <w:szCs w:val="28"/>
        </w:rPr>
        <w:t xml:space="preserve"> </w:t>
      </w:r>
      <w:r>
        <w:rPr>
          <w:rFonts w:ascii="仿宋" w:hAnsi="仿宋" w:cs="Arial" w:hint="eastAsia"/>
          <w:kern w:val="0"/>
          <w:sz w:val="28"/>
          <w:szCs w:val="28"/>
        </w:rPr>
        <w:t>项目资金支出是指在项目组织实施过程中与研究活动相关的、由项目资金支付的各项费用支出。项目资金分为直接费用和间接费用。</w:t>
      </w:r>
    </w:p>
    <w:p w14:paraId="67E2374B"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第十二条</w:t>
      </w:r>
      <w:r>
        <w:rPr>
          <w:rFonts w:ascii="仿宋" w:hAnsi="仿宋" w:cs="Arial" w:hint="eastAsia"/>
          <w:b/>
          <w:bCs/>
          <w:kern w:val="0"/>
          <w:sz w:val="28"/>
          <w:szCs w:val="28"/>
        </w:rPr>
        <w:t xml:space="preserve"> </w:t>
      </w:r>
      <w:r>
        <w:rPr>
          <w:rFonts w:ascii="仿宋" w:hAnsi="仿宋" w:cs="Arial" w:hint="eastAsia"/>
          <w:kern w:val="0"/>
          <w:sz w:val="28"/>
          <w:szCs w:val="28"/>
        </w:rPr>
        <w:t>直接费用是指在项目研究过程中发生的与之直接相关的费用，具体包括：</w:t>
      </w:r>
    </w:p>
    <w:p w14:paraId="6C701B86"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（一）设备费。在项目研究过程中购置或试制专用仪器设备，对现有仪器设备进行升级改造，以及租赁外单位仪器设备而发生的费用。</w:t>
      </w:r>
    </w:p>
    <w:p w14:paraId="23DCD75F"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（二）材料费。在项目研究过程中消耗的各种原材料、辅助材料、低值易耗品等的采购及运输、装卸、整理、回收处理等费用。</w:t>
      </w:r>
    </w:p>
    <w:p w14:paraId="6A3F1C5E"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（三）测试化验加工费。在项目研究过程中支付给外单位或依托单位内部检</w:t>
      </w:r>
      <w:r>
        <w:rPr>
          <w:rFonts w:ascii="仿宋" w:hAnsi="仿宋" w:cs="Arial" w:hint="eastAsia"/>
          <w:kern w:val="0"/>
          <w:sz w:val="28"/>
          <w:szCs w:val="28"/>
        </w:rPr>
        <w:t>测机构的检验、测试、化验及加工等费用，非独立核算的内部检测机构应按规定明确检测费用标准。</w:t>
      </w:r>
    </w:p>
    <w:p w14:paraId="12303F95"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（四）燃料动力费。在项目研究过程中相关大型仪器设备、专用科学装置等运行发生的可以单独计量的水、电、气、燃料消耗费用等。</w:t>
      </w:r>
    </w:p>
    <w:p w14:paraId="6003ED27"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（五）差旅费</w:t>
      </w:r>
      <w:r>
        <w:rPr>
          <w:rFonts w:ascii="仿宋" w:hAnsi="仿宋" w:cs="Arial" w:hint="eastAsia"/>
          <w:kern w:val="0"/>
          <w:sz w:val="28"/>
          <w:szCs w:val="28"/>
        </w:rPr>
        <w:t>/</w:t>
      </w:r>
      <w:r>
        <w:rPr>
          <w:rFonts w:ascii="仿宋" w:hAnsi="仿宋" w:cs="Arial" w:hint="eastAsia"/>
          <w:kern w:val="0"/>
          <w:sz w:val="28"/>
          <w:szCs w:val="28"/>
        </w:rPr>
        <w:t>会议费</w:t>
      </w:r>
      <w:r>
        <w:rPr>
          <w:rFonts w:ascii="仿宋" w:hAnsi="仿宋" w:cs="Arial" w:hint="eastAsia"/>
          <w:kern w:val="0"/>
          <w:sz w:val="28"/>
          <w:szCs w:val="28"/>
        </w:rPr>
        <w:t>/</w:t>
      </w:r>
      <w:r>
        <w:rPr>
          <w:rFonts w:ascii="仿宋" w:hAnsi="仿宋" w:cs="Arial" w:hint="eastAsia"/>
          <w:kern w:val="0"/>
          <w:sz w:val="28"/>
          <w:szCs w:val="28"/>
        </w:rPr>
        <w:t>国际合作交流费。在项目研究过程中开展科学实验（试验）、科学考察、业务调研、学术交流、业务培训等所发生的外埠差旅费、市内交通费用；组织开展学术研讨、咨询以及协调项目研究工作等活动而发生的会议费用；项目研究人员出国、赴港澳台、外国专家来华、港澳台专家来内地工作以及开展学</w:t>
      </w:r>
      <w:r>
        <w:rPr>
          <w:rFonts w:ascii="仿宋" w:hAnsi="仿宋" w:cs="Arial" w:hint="eastAsia"/>
          <w:kern w:val="0"/>
          <w:sz w:val="28"/>
          <w:szCs w:val="28"/>
        </w:rPr>
        <w:lastRenderedPageBreak/>
        <w:t>术交流</w:t>
      </w:r>
      <w:r>
        <w:rPr>
          <w:rFonts w:ascii="仿宋" w:hAnsi="仿宋" w:cs="Arial" w:hint="eastAsia"/>
          <w:kern w:val="0"/>
          <w:sz w:val="28"/>
          <w:szCs w:val="28"/>
        </w:rPr>
        <w:t>的费用等。本科目预算不超过直接费用</w:t>
      </w:r>
      <w:r>
        <w:rPr>
          <w:rFonts w:ascii="仿宋" w:hAnsi="仿宋" w:cs="Arial" w:hint="eastAsia"/>
          <w:kern w:val="0"/>
          <w:sz w:val="28"/>
          <w:szCs w:val="28"/>
        </w:rPr>
        <w:t>10%</w:t>
      </w:r>
      <w:r>
        <w:rPr>
          <w:rFonts w:ascii="仿宋" w:hAnsi="仿宋" w:cs="Arial" w:hint="eastAsia"/>
          <w:kern w:val="0"/>
          <w:sz w:val="28"/>
          <w:szCs w:val="28"/>
        </w:rPr>
        <w:t>的，不需要提供预算测算依据，可统筹使用。</w:t>
      </w:r>
    </w:p>
    <w:p w14:paraId="11ADC996"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（六）出版</w:t>
      </w:r>
      <w:r>
        <w:rPr>
          <w:rFonts w:ascii="仿宋" w:hAnsi="仿宋" w:cs="Arial" w:hint="eastAsia"/>
          <w:kern w:val="0"/>
          <w:sz w:val="28"/>
          <w:szCs w:val="28"/>
        </w:rPr>
        <w:t>/</w:t>
      </w:r>
      <w:r>
        <w:rPr>
          <w:rFonts w:ascii="仿宋" w:hAnsi="仿宋" w:cs="Arial" w:hint="eastAsia"/>
          <w:kern w:val="0"/>
          <w:sz w:val="28"/>
          <w:szCs w:val="28"/>
        </w:rPr>
        <w:t>文献</w:t>
      </w:r>
      <w:r>
        <w:rPr>
          <w:rFonts w:ascii="仿宋" w:hAnsi="仿宋" w:cs="Arial" w:hint="eastAsia"/>
          <w:kern w:val="0"/>
          <w:sz w:val="28"/>
          <w:szCs w:val="28"/>
        </w:rPr>
        <w:t>/</w:t>
      </w:r>
      <w:r>
        <w:rPr>
          <w:rFonts w:ascii="仿宋" w:hAnsi="仿宋" w:cs="Arial" w:hint="eastAsia"/>
          <w:kern w:val="0"/>
          <w:sz w:val="28"/>
          <w:szCs w:val="28"/>
        </w:rPr>
        <w:t>信息传播</w:t>
      </w:r>
      <w:r>
        <w:rPr>
          <w:rFonts w:ascii="仿宋" w:hAnsi="仿宋" w:cs="Arial" w:hint="eastAsia"/>
          <w:kern w:val="0"/>
          <w:sz w:val="28"/>
          <w:szCs w:val="28"/>
        </w:rPr>
        <w:t>/</w:t>
      </w:r>
      <w:r>
        <w:rPr>
          <w:rFonts w:ascii="仿宋" w:hAnsi="仿宋" w:cs="Arial" w:hint="eastAsia"/>
          <w:kern w:val="0"/>
          <w:sz w:val="28"/>
          <w:szCs w:val="28"/>
        </w:rPr>
        <w:t>知识产权事务费。在项目研究过程中，需要支付的出版费、资料费、专用软件购买费、文献检索费、专业通信费、专利申请及其他知识产权事务等费用。</w:t>
      </w:r>
    </w:p>
    <w:p w14:paraId="531B3FDB"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（七）劳务费。在项目研究过程中支付给参与项目研究的承担单位编制外研究生、博士后、访问学者、项目聘用的研究人员和科研辅助人员的劳务费用。</w:t>
      </w:r>
    </w:p>
    <w:p w14:paraId="576D8F85"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项目聘用人员的劳务费开支标准，参照当地科学研究和技术服务业从业人员平均工资水平，根据其在项目研究中承担的工作任务确定，</w:t>
      </w:r>
      <w:r>
        <w:rPr>
          <w:rFonts w:ascii="仿宋" w:hAnsi="仿宋" w:cs="Arial" w:hint="eastAsia"/>
          <w:kern w:val="0"/>
          <w:sz w:val="28"/>
          <w:szCs w:val="28"/>
        </w:rPr>
        <w:t>其社会保险补助纳入劳务费科目列支。劳务费预算不单设比例限制，由项目承担单位和科研人员据实编制。</w:t>
      </w:r>
    </w:p>
    <w:p w14:paraId="2127CECA"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项目聘用的研究人员和科研辅助人员依法与项目承担单位签订合同（协议）。</w:t>
      </w:r>
    </w:p>
    <w:p w14:paraId="0F34DD53"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参与项目研究并与项目承担单位签订劳动合同的编制外人员的工资性支出在劳务费中列支，确不具备签订合同或协议条件的，可按规定提供相关佐证材料。</w:t>
      </w:r>
    </w:p>
    <w:p w14:paraId="7A1B66A1"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（八）人员费。项目承担单位</w:t>
      </w:r>
      <w:proofErr w:type="gramStart"/>
      <w:r>
        <w:rPr>
          <w:rFonts w:ascii="仿宋" w:hAnsi="仿宋" w:cs="Arial" w:hint="eastAsia"/>
          <w:kern w:val="0"/>
          <w:sz w:val="28"/>
          <w:szCs w:val="28"/>
        </w:rPr>
        <w:t>属科研</w:t>
      </w:r>
      <w:proofErr w:type="gramEnd"/>
      <w:r>
        <w:rPr>
          <w:rFonts w:ascii="仿宋" w:hAnsi="仿宋" w:cs="Arial" w:hint="eastAsia"/>
          <w:kern w:val="0"/>
          <w:sz w:val="28"/>
          <w:szCs w:val="28"/>
        </w:rPr>
        <w:t>事业单位的，可从直接费用中开支参与项目研究的在编人员工资性支出，用于补足财政补助标准与本单位实际发放水平之间的差额，并纳入单位工资总额限额管理。</w:t>
      </w:r>
    </w:p>
    <w:p w14:paraId="083D3883"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（九）对全时全</w:t>
      </w:r>
      <w:r>
        <w:rPr>
          <w:rFonts w:ascii="仿宋" w:hAnsi="仿宋" w:cs="Arial" w:hint="eastAsia"/>
          <w:kern w:val="0"/>
          <w:sz w:val="28"/>
          <w:szCs w:val="28"/>
        </w:rPr>
        <w:t>职承担我省重点领域研发计划的团队负责人（领衔科学家</w:t>
      </w:r>
      <w:r>
        <w:rPr>
          <w:rFonts w:ascii="仿宋" w:hAnsi="仿宋" w:cs="Arial" w:hint="eastAsia"/>
          <w:kern w:val="0"/>
          <w:sz w:val="28"/>
          <w:szCs w:val="28"/>
        </w:rPr>
        <w:t>/</w:t>
      </w:r>
      <w:r>
        <w:rPr>
          <w:rFonts w:ascii="仿宋" w:hAnsi="仿宋" w:cs="Arial" w:hint="eastAsia"/>
          <w:kern w:val="0"/>
          <w:sz w:val="28"/>
          <w:szCs w:val="28"/>
        </w:rPr>
        <w:t>首席科学家、技术总师、型号总师、总指挥、总负责人等）以及引进的高端人才，可实行年薪制管理。年薪所需经费在项目经</w:t>
      </w:r>
      <w:r>
        <w:rPr>
          <w:rFonts w:ascii="仿宋" w:hAnsi="仿宋" w:cs="Arial" w:hint="eastAsia"/>
          <w:kern w:val="0"/>
          <w:sz w:val="28"/>
          <w:szCs w:val="28"/>
        </w:rPr>
        <w:lastRenderedPageBreak/>
        <w:t>费中单独核定，在本单位绩效工资总量中单列，相应增加单位当年绩效工资总量。</w:t>
      </w:r>
    </w:p>
    <w:p w14:paraId="2FAD9D2F"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（十）专家咨询费。在项目研究过程中支付给临时聘请的咨询专家的费用。专家咨询费不得支付给参与项目管理相关工作人员。</w:t>
      </w:r>
    </w:p>
    <w:p w14:paraId="3273D244"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（十一）其他支出。项目研究过程中发生的除上述费用之外的其他支出以及不可预见支出，在申请预算时应单独列示，单独核定。</w:t>
      </w:r>
    </w:p>
    <w:p w14:paraId="20564B67"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第十三条</w:t>
      </w:r>
      <w:r>
        <w:rPr>
          <w:rFonts w:ascii="微软雅黑" w:hAnsi="微软雅黑" w:cs="Arial" w:hint="eastAsia"/>
          <w:b/>
          <w:bCs/>
          <w:kern w:val="0"/>
          <w:sz w:val="28"/>
          <w:szCs w:val="28"/>
        </w:rPr>
        <w:t> </w:t>
      </w:r>
      <w:r>
        <w:rPr>
          <w:rFonts w:ascii="仿宋" w:hAnsi="仿宋" w:cs="Arial" w:hint="eastAsia"/>
          <w:b/>
          <w:bCs/>
          <w:kern w:val="0"/>
          <w:sz w:val="28"/>
          <w:szCs w:val="28"/>
        </w:rPr>
        <w:t xml:space="preserve"> </w:t>
      </w:r>
      <w:r>
        <w:rPr>
          <w:rFonts w:ascii="仿宋" w:hAnsi="仿宋" w:cs="Arial" w:hint="eastAsia"/>
          <w:kern w:val="0"/>
          <w:sz w:val="28"/>
          <w:szCs w:val="28"/>
        </w:rPr>
        <w:t>项目承担单位可按照本单</w:t>
      </w:r>
      <w:r>
        <w:rPr>
          <w:rFonts w:ascii="仿宋" w:hAnsi="仿宋" w:cs="Arial" w:hint="eastAsia"/>
          <w:kern w:val="0"/>
          <w:sz w:val="28"/>
          <w:szCs w:val="28"/>
        </w:rPr>
        <w:t>位科研规律和项目特点，参照国家和省的有关规定，研究制定符合本单位科研活动实际的各类直接费用支出标准。</w:t>
      </w:r>
    </w:p>
    <w:p w14:paraId="299779F3"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劳务费和人员费列支应结合相关人员参与项目的全时工作时间等因素合理确定。</w:t>
      </w:r>
    </w:p>
    <w:p w14:paraId="332E165A"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对团队负责人、高端人才的年薪，项目承担单位应在项目申报时报项目主管部门确定人员名单和年薪标准，实行一项</w:t>
      </w:r>
      <w:proofErr w:type="gramStart"/>
      <w:r>
        <w:rPr>
          <w:rFonts w:ascii="仿宋" w:hAnsi="仿宋" w:cs="Arial" w:hint="eastAsia"/>
          <w:kern w:val="0"/>
          <w:sz w:val="28"/>
          <w:szCs w:val="28"/>
        </w:rPr>
        <w:t>一</w:t>
      </w:r>
      <w:proofErr w:type="gramEnd"/>
      <w:r>
        <w:rPr>
          <w:rFonts w:ascii="仿宋" w:hAnsi="仿宋" w:cs="Arial" w:hint="eastAsia"/>
          <w:kern w:val="0"/>
          <w:sz w:val="28"/>
          <w:szCs w:val="28"/>
        </w:rPr>
        <w:t>策、清单式管理，并报省科技厅、人力资源社会保障厅、财政厅备案。</w:t>
      </w:r>
    </w:p>
    <w:p w14:paraId="0A1C4195"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项目承担单位应按照实事求是、精简高效、厉行节约的原则，合理确定差旅会议与国际合作交流费、专家咨询费的开支范围、标准等，并简化相关手续。</w:t>
      </w:r>
    </w:p>
    <w:p w14:paraId="790C9E28"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第十四条</w:t>
      </w:r>
      <w:r>
        <w:rPr>
          <w:rFonts w:ascii="仿宋" w:hAnsi="仿宋" w:cs="Arial" w:hint="eastAsia"/>
          <w:b/>
          <w:bCs/>
          <w:kern w:val="0"/>
          <w:sz w:val="28"/>
          <w:szCs w:val="28"/>
        </w:rPr>
        <w:t xml:space="preserve"> </w:t>
      </w:r>
      <w:r>
        <w:rPr>
          <w:rFonts w:ascii="仿宋" w:hAnsi="仿宋" w:cs="Arial" w:hint="eastAsia"/>
          <w:kern w:val="0"/>
          <w:sz w:val="28"/>
          <w:szCs w:val="28"/>
        </w:rPr>
        <w:t>间接费用</w:t>
      </w:r>
      <w:r>
        <w:rPr>
          <w:rFonts w:ascii="仿宋" w:hAnsi="仿宋" w:cs="Arial" w:hint="eastAsia"/>
          <w:kern w:val="0"/>
          <w:sz w:val="28"/>
          <w:szCs w:val="28"/>
        </w:rPr>
        <w:t>是指项目承担单位在组织实施项目过程中发生的无法直接列支的相关费用，主要用于补偿项目承担单位为了项目研究提供的现有仪器设备及房屋，水、电、气、暖消耗，有关提高科研管理、服务能力等费用，以及绩效支出等。</w:t>
      </w:r>
    </w:p>
    <w:p w14:paraId="741C6B19"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项目承担单位在统筹安排间接费用时，应合理分摊间接成本以及对科研及相关人员绩效支出。绩效支出安排与科研人员在项目工作中的实际贡献挂钩，适当向一线科研人员倾斜。绩效支出不单设比例限制，纳入单位奖励性绩效单列管理，不计</w:t>
      </w:r>
      <w:proofErr w:type="gramStart"/>
      <w:r>
        <w:rPr>
          <w:rFonts w:ascii="仿宋" w:hAnsi="仿宋" w:cs="Arial" w:hint="eastAsia"/>
          <w:kern w:val="0"/>
          <w:sz w:val="28"/>
          <w:szCs w:val="28"/>
        </w:rPr>
        <w:t>入单位</w:t>
      </w:r>
      <w:proofErr w:type="gramEnd"/>
      <w:r>
        <w:rPr>
          <w:rFonts w:ascii="仿宋" w:hAnsi="仿宋" w:cs="Arial" w:hint="eastAsia"/>
          <w:kern w:val="0"/>
          <w:sz w:val="28"/>
          <w:szCs w:val="28"/>
        </w:rPr>
        <w:t>绩效工资总</w:t>
      </w:r>
      <w:r>
        <w:rPr>
          <w:rFonts w:ascii="仿宋" w:hAnsi="仿宋" w:cs="Arial" w:hint="eastAsia"/>
          <w:kern w:val="0"/>
          <w:sz w:val="28"/>
          <w:szCs w:val="28"/>
        </w:rPr>
        <w:lastRenderedPageBreak/>
        <w:t>量调控基数。项目承担单位从我省重点领域研发计划项目间接费用中提取的绩效支出，应向承担任务的中青年科研骨干倾斜。</w:t>
      </w:r>
    </w:p>
    <w:p w14:paraId="0145A6FB"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w:t>
      </w:r>
      <w:r>
        <w:rPr>
          <w:rFonts w:ascii="仿宋" w:hAnsi="仿宋" w:cs="Arial" w:hint="eastAsia"/>
          <w:bCs/>
          <w:kern w:val="0"/>
          <w:sz w:val="28"/>
          <w:szCs w:val="28"/>
        </w:rPr>
        <w:t>第十五条</w:t>
      </w:r>
      <w:r>
        <w:rPr>
          <w:rFonts w:ascii="仿宋" w:hAnsi="仿宋" w:cs="Arial" w:hint="eastAsia"/>
          <w:kern w:val="0"/>
          <w:sz w:val="28"/>
          <w:szCs w:val="28"/>
        </w:rPr>
        <w:t xml:space="preserve"> </w:t>
      </w:r>
      <w:r>
        <w:rPr>
          <w:rFonts w:ascii="仿宋" w:hAnsi="仿宋" w:cs="Arial" w:hint="eastAsia"/>
          <w:kern w:val="0"/>
          <w:sz w:val="28"/>
          <w:szCs w:val="28"/>
        </w:rPr>
        <w:t>间接费用按照不超过项目直接费用扣除设备购置费后的一定比例核定，与项目承担单位信用等级挂钩，并实行总额控制。具体比例如下：</w:t>
      </w:r>
    </w:p>
    <w:p w14:paraId="68239943"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（一）科技研究类项目。</w:t>
      </w:r>
    </w:p>
    <w:p w14:paraId="38BB9461"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w:t>
      </w:r>
      <w:r>
        <w:rPr>
          <w:rFonts w:ascii="仿宋" w:hAnsi="仿宋" w:cs="Arial" w:hint="eastAsia"/>
          <w:kern w:val="0"/>
          <w:sz w:val="28"/>
          <w:szCs w:val="28"/>
        </w:rPr>
        <w:t>1.500</w:t>
      </w:r>
      <w:r>
        <w:rPr>
          <w:rFonts w:ascii="仿宋" w:hAnsi="仿宋" w:cs="Arial" w:hint="eastAsia"/>
          <w:kern w:val="0"/>
          <w:sz w:val="28"/>
          <w:szCs w:val="28"/>
        </w:rPr>
        <w:t>万元及以下的部分为不超过</w:t>
      </w:r>
      <w:r>
        <w:rPr>
          <w:rFonts w:ascii="仿宋" w:hAnsi="仿宋" w:cs="Arial" w:hint="eastAsia"/>
          <w:kern w:val="0"/>
          <w:sz w:val="28"/>
          <w:szCs w:val="28"/>
        </w:rPr>
        <w:t>20%</w:t>
      </w:r>
      <w:r>
        <w:rPr>
          <w:rFonts w:ascii="仿宋" w:hAnsi="仿宋" w:cs="Arial" w:hint="eastAsia"/>
          <w:kern w:val="0"/>
          <w:sz w:val="28"/>
          <w:szCs w:val="28"/>
        </w:rPr>
        <w:t>；</w:t>
      </w:r>
    </w:p>
    <w:p w14:paraId="0F3827E8"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w:t>
      </w:r>
      <w:r>
        <w:rPr>
          <w:rFonts w:ascii="仿宋" w:hAnsi="仿宋" w:cs="Arial" w:hint="eastAsia"/>
          <w:kern w:val="0"/>
          <w:sz w:val="28"/>
          <w:szCs w:val="28"/>
        </w:rPr>
        <w:t>2.500</w:t>
      </w:r>
      <w:r>
        <w:rPr>
          <w:rFonts w:ascii="仿宋" w:hAnsi="仿宋" w:cs="Arial" w:hint="eastAsia"/>
          <w:kern w:val="0"/>
          <w:sz w:val="28"/>
          <w:szCs w:val="28"/>
        </w:rPr>
        <w:t>万元至</w:t>
      </w:r>
      <w:r>
        <w:rPr>
          <w:rFonts w:ascii="仿宋" w:hAnsi="仿宋" w:cs="Arial" w:hint="eastAsia"/>
          <w:kern w:val="0"/>
          <w:sz w:val="28"/>
          <w:szCs w:val="28"/>
        </w:rPr>
        <w:t>1000</w:t>
      </w:r>
      <w:r>
        <w:rPr>
          <w:rFonts w:ascii="仿宋" w:hAnsi="仿宋" w:cs="Arial" w:hint="eastAsia"/>
          <w:kern w:val="0"/>
          <w:sz w:val="28"/>
          <w:szCs w:val="28"/>
        </w:rPr>
        <w:t>万元的部分为不超过</w:t>
      </w:r>
      <w:r>
        <w:rPr>
          <w:rFonts w:ascii="仿宋" w:hAnsi="仿宋" w:cs="Arial" w:hint="eastAsia"/>
          <w:kern w:val="0"/>
          <w:sz w:val="28"/>
          <w:szCs w:val="28"/>
        </w:rPr>
        <w:t>15%</w:t>
      </w:r>
      <w:r>
        <w:rPr>
          <w:rFonts w:ascii="仿宋" w:hAnsi="仿宋" w:cs="Arial" w:hint="eastAsia"/>
          <w:kern w:val="0"/>
          <w:sz w:val="28"/>
          <w:szCs w:val="28"/>
        </w:rPr>
        <w:t>；</w:t>
      </w:r>
    </w:p>
    <w:p w14:paraId="785F9A83"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w:t>
      </w:r>
      <w:r>
        <w:rPr>
          <w:rFonts w:ascii="仿宋" w:hAnsi="仿宋" w:cs="Arial" w:hint="eastAsia"/>
          <w:kern w:val="0"/>
          <w:sz w:val="28"/>
          <w:szCs w:val="28"/>
        </w:rPr>
        <w:t>3.1000</w:t>
      </w:r>
      <w:r>
        <w:rPr>
          <w:rFonts w:ascii="仿宋" w:hAnsi="仿宋" w:cs="Arial" w:hint="eastAsia"/>
          <w:kern w:val="0"/>
          <w:sz w:val="28"/>
          <w:szCs w:val="28"/>
        </w:rPr>
        <w:t>万元以上的部分为不超过</w:t>
      </w:r>
      <w:r>
        <w:rPr>
          <w:rFonts w:ascii="仿宋" w:hAnsi="仿宋" w:cs="Arial" w:hint="eastAsia"/>
          <w:kern w:val="0"/>
          <w:sz w:val="28"/>
          <w:szCs w:val="28"/>
        </w:rPr>
        <w:t>13</w:t>
      </w:r>
      <w:r>
        <w:rPr>
          <w:rFonts w:ascii="仿宋" w:hAnsi="仿宋" w:cs="Arial" w:hint="eastAsia"/>
          <w:kern w:val="0"/>
          <w:sz w:val="28"/>
          <w:szCs w:val="28"/>
        </w:rPr>
        <w:t>％。</w:t>
      </w:r>
    </w:p>
    <w:p w14:paraId="06B78C61"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（二）试验设备依赖程度低和实验材料耗费少的基础研究、软件开发、集成电路设计、科研咨询、科技服务、软科学研究、智库等智力密集型项目。</w:t>
      </w:r>
    </w:p>
    <w:p w14:paraId="4A911139"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w:t>
      </w:r>
      <w:r>
        <w:rPr>
          <w:rFonts w:ascii="仿宋" w:hAnsi="仿宋" w:cs="Arial" w:hint="eastAsia"/>
          <w:kern w:val="0"/>
          <w:sz w:val="28"/>
          <w:szCs w:val="28"/>
        </w:rPr>
        <w:t>1.500</w:t>
      </w:r>
      <w:r>
        <w:rPr>
          <w:rFonts w:ascii="仿宋" w:hAnsi="仿宋" w:cs="Arial" w:hint="eastAsia"/>
          <w:kern w:val="0"/>
          <w:sz w:val="28"/>
          <w:szCs w:val="28"/>
        </w:rPr>
        <w:t>万元以下的部分为不超过</w:t>
      </w:r>
      <w:r>
        <w:rPr>
          <w:rFonts w:ascii="仿宋" w:hAnsi="仿宋" w:cs="Arial" w:hint="eastAsia"/>
          <w:kern w:val="0"/>
          <w:sz w:val="28"/>
          <w:szCs w:val="28"/>
        </w:rPr>
        <w:t>30%</w:t>
      </w:r>
      <w:r>
        <w:rPr>
          <w:rFonts w:ascii="仿宋" w:hAnsi="仿宋" w:cs="Arial" w:hint="eastAsia"/>
          <w:kern w:val="0"/>
          <w:sz w:val="28"/>
          <w:szCs w:val="28"/>
        </w:rPr>
        <w:t>；</w:t>
      </w:r>
    </w:p>
    <w:p w14:paraId="3A4E8316"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w:t>
      </w:r>
      <w:r>
        <w:rPr>
          <w:rFonts w:ascii="仿宋" w:hAnsi="仿宋" w:cs="Arial" w:hint="eastAsia"/>
          <w:kern w:val="0"/>
          <w:sz w:val="28"/>
          <w:szCs w:val="28"/>
        </w:rPr>
        <w:t>2.500</w:t>
      </w:r>
      <w:r>
        <w:rPr>
          <w:rFonts w:ascii="仿宋" w:hAnsi="仿宋" w:cs="Arial" w:hint="eastAsia"/>
          <w:kern w:val="0"/>
          <w:sz w:val="28"/>
          <w:szCs w:val="28"/>
        </w:rPr>
        <w:t>万元至</w:t>
      </w:r>
      <w:r>
        <w:rPr>
          <w:rFonts w:ascii="仿宋" w:hAnsi="仿宋" w:cs="Arial" w:hint="eastAsia"/>
          <w:kern w:val="0"/>
          <w:sz w:val="28"/>
          <w:szCs w:val="28"/>
        </w:rPr>
        <w:t>1000</w:t>
      </w:r>
      <w:r>
        <w:rPr>
          <w:rFonts w:ascii="仿宋" w:hAnsi="仿宋" w:cs="Arial" w:hint="eastAsia"/>
          <w:kern w:val="0"/>
          <w:sz w:val="28"/>
          <w:szCs w:val="28"/>
        </w:rPr>
        <w:t>万元的部分为不超过</w:t>
      </w:r>
      <w:r>
        <w:rPr>
          <w:rFonts w:ascii="仿宋" w:hAnsi="仿宋" w:cs="Arial" w:hint="eastAsia"/>
          <w:kern w:val="0"/>
          <w:sz w:val="28"/>
          <w:szCs w:val="28"/>
        </w:rPr>
        <w:t>25%</w:t>
      </w:r>
      <w:r>
        <w:rPr>
          <w:rFonts w:ascii="仿宋" w:hAnsi="仿宋" w:cs="Arial" w:hint="eastAsia"/>
          <w:kern w:val="0"/>
          <w:sz w:val="28"/>
          <w:szCs w:val="28"/>
        </w:rPr>
        <w:t>；</w:t>
      </w:r>
    </w:p>
    <w:p w14:paraId="7107B27D"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w:t>
      </w:r>
      <w:r>
        <w:rPr>
          <w:rFonts w:ascii="仿宋" w:hAnsi="仿宋" w:cs="Arial" w:hint="eastAsia"/>
          <w:kern w:val="0"/>
          <w:sz w:val="28"/>
          <w:szCs w:val="28"/>
        </w:rPr>
        <w:t>3.1000</w:t>
      </w:r>
      <w:r>
        <w:rPr>
          <w:rFonts w:ascii="仿宋" w:hAnsi="仿宋" w:cs="Arial" w:hint="eastAsia"/>
          <w:kern w:val="0"/>
          <w:sz w:val="28"/>
          <w:szCs w:val="28"/>
        </w:rPr>
        <w:t>万元以上的部分为不超过</w:t>
      </w:r>
      <w:r>
        <w:rPr>
          <w:rFonts w:ascii="仿宋" w:hAnsi="仿宋" w:cs="Arial" w:hint="eastAsia"/>
          <w:kern w:val="0"/>
          <w:sz w:val="28"/>
          <w:szCs w:val="28"/>
        </w:rPr>
        <w:t>20%</w:t>
      </w:r>
      <w:r>
        <w:rPr>
          <w:rFonts w:ascii="仿宋" w:hAnsi="仿宋" w:cs="Arial" w:hint="eastAsia"/>
          <w:kern w:val="0"/>
          <w:sz w:val="28"/>
          <w:szCs w:val="28"/>
        </w:rPr>
        <w:t>。</w:t>
      </w:r>
    </w:p>
    <w:p w14:paraId="4F575AE6"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对数学等纯理论基础研究项目，项目承担单位可进一步根据实际情况适当调整间接经费比例。</w:t>
      </w:r>
    </w:p>
    <w:p w14:paraId="6546FC33"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第十六条</w:t>
      </w:r>
      <w:r>
        <w:rPr>
          <w:rFonts w:ascii="仿宋" w:hAnsi="仿宋" w:cs="Arial" w:hint="eastAsia"/>
          <w:kern w:val="0"/>
          <w:sz w:val="28"/>
          <w:szCs w:val="28"/>
        </w:rPr>
        <w:t xml:space="preserve"> </w:t>
      </w:r>
      <w:r>
        <w:rPr>
          <w:rFonts w:ascii="仿宋" w:hAnsi="仿宋" w:cs="Arial" w:hint="eastAsia"/>
          <w:kern w:val="0"/>
          <w:sz w:val="28"/>
          <w:szCs w:val="28"/>
        </w:rPr>
        <w:t>间接费用由项目承担单位统筹管理使用，并向创新绩效突出的团队和个人倾斜。项目承担单位应在充分征求意见基础上研究制定间接费用管理办法，合</w:t>
      </w:r>
      <w:proofErr w:type="gramStart"/>
      <w:r>
        <w:rPr>
          <w:rFonts w:ascii="仿宋" w:hAnsi="仿宋" w:cs="Arial" w:hint="eastAsia"/>
          <w:kern w:val="0"/>
          <w:sz w:val="28"/>
          <w:szCs w:val="28"/>
        </w:rPr>
        <w:t>规</w:t>
      </w:r>
      <w:proofErr w:type="gramEnd"/>
      <w:r>
        <w:rPr>
          <w:rFonts w:ascii="仿宋" w:hAnsi="仿宋" w:cs="Arial" w:hint="eastAsia"/>
          <w:kern w:val="0"/>
          <w:sz w:val="28"/>
          <w:szCs w:val="28"/>
        </w:rPr>
        <w:t>合理使用间接费用，并建立间接费用</w:t>
      </w:r>
      <w:proofErr w:type="gramStart"/>
      <w:r>
        <w:rPr>
          <w:rFonts w:ascii="仿宋" w:hAnsi="仿宋" w:cs="Arial" w:hint="eastAsia"/>
          <w:kern w:val="0"/>
          <w:sz w:val="28"/>
          <w:szCs w:val="28"/>
        </w:rPr>
        <w:t>开支台</w:t>
      </w:r>
      <w:proofErr w:type="gramEnd"/>
      <w:r>
        <w:rPr>
          <w:rFonts w:ascii="仿宋" w:hAnsi="仿宋" w:cs="Arial" w:hint="eastAsia"/>
          <w:kern w:val="0"/>
          <w:sz w:val="28"/>
          <w:szCs w:val="28"/>
        </w:rPr>
        <w:t>账，进行单独核算。</w:t>
      </w:r>
    </w:p>
    <w:p w14:paraId="6F4617C7"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科研项目由多个单位承担的，间接费用在总额范围内由牵头单位与参与单位协商分配。</w:t>
      </w:r>
    </w:p>
    <w:p w14:paraId="6F0B12AB"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项目承担单位不得在核定的间接费用以外再以任何名义在项目资金中重复提取、列支相关费用。</w:t>
      </w:r>
    </w:p>
    <w:p w14:paraId="16D8212F" w14:textId="77777777" w:rsidR="00143E6C" w:rsidRDefault="00B15C9C">
      <w:pPr>
        <w:widowControl/>
        <w:shd w:val="clear" w:color="auto" w:fill="FFFFFF"/>
        <w:adjustRightInd w:val="0"/>
        <w:snapToGrid w:val="0"/>
        <w:spacing w:line="360" w:lineRule="auto"/>
        <w:ind w:left="41" w:right="41"/>
        <w:jc w:val="center"/>
        <w:rPr>
          <w:rFonts w:ascii="仿宋" w:hAnsi="仿宋" w:cs="Arial"/>
          <w:kern w:val="0"/>
          <w:sz w:val="28"/>
          <w:szCs w:val="28"/>
        </w:rPr>
      </w:pPr>
      <w:r>
        <w:rPr>
          <w:rFonts w:ascii="仿宋" w:hAnsi="仿宋" w:cs="Arial" w:hint="eastAsia"/>
          <w:b/>
          <w:bCs/>
          <w:kern w:val="0"/>
          <w:sz w:val="28"/>
          <w:szCs w:val="28"/>
        </w:rPr>
        <w:lastRenderedPageBreak/>
        <w:t>第四章　预算编制</w:t>
      </w:r>
    </w:p>
    <w:p w14:paraId="7C7DD3AC"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第十七条</w:t>
      </w:r>
      <w:r>
        <w:rPr>
          <w:rFonts w:ascii="仿宋" w:hAnsi="仿宋" w:cs="Arial" w:hint="eastAsia"/>
          <w:b/>
          <w:bCs/>
          <w:kern w:val="0"/>
          <w:sz w:val="28"/>
          <w:szCs w:val="28"/>
        </w:rPr>
        <w:t xml:space="preserve"> </w:t>
      </w:r>
      <w:r>
        <w:rPr>
          <w:rFonts w:ascii="仿宋" w:hAnsi="仿宋" w:cs="Arial" w:hint="eastAsia"/>
          <w:kern w:val="0"/>
          <w:sz w:val="28"/>
          <w:szCs w:val="28"/>
        </w:rPr>
        <w:t>项目负责人根据</w:t>
      </w:r>
      <w:r>
        <w:rPr>
          <w:rFonts w:ascii="仿宋" w:hAnsi="仿宋" w:cs="Arial" w:hint="eastAsia"/>
          <w:kern w:val="0"/>
          <w:sz w:val="28"/>
          <w:szCs w:val="28"/>
        </w:rPr>
        <w:t>目标相关性、政策相符性和经济合理性原则，编制项目收入预算和支出预算。收入预算按照从各种不同渠道获得的资金总额填列，包括省级财政资助的资金以及从项目承担单位和其他渠道获得的资金。</w:t>
      </w:r>
    </w:p>
    <w:p w14:paraId="022E7841"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支出预算根据项目需求，按照资金开支范围和不同资金来源编列。项目直接费用中除设备费外，其他费用可只提供基本测算说明，不提供明细。仪器设备购置，应对拟购置设备的必要性、现有同类设备的利用情况以及购置设备的开放共享方案等进行单独说明。合作研究资金应对合作研究单位资质及</w:t>
      </w:r>
      <w:proofErr w:type="gramStart"/>
      <w:r>
        <w:rPr>
          <w:rFonts w:ascii="仿宋" w:hAnsi="仿宋" w:cs="Arial" w:hint="eastAsia"/>
          <w:kern w:val="0"/>
          <w:sz w:val="28"/>
          <w:szCs w:val="28"/>
        </w:rPr>
        <w:t>拟外拨</w:t>
      </w:r>
      <w:proofErr w:type="gramEnd"/>
      <w:r>
        <w:rPr>
          <w:rFonts w:ascii="仿宋" w:hAnsi="仿宋" w:cs="Arial" w:hint="eastAsia"/>
          <w:kern w:val="0"/>
          <w:sz w:val="28"/>
          <w:szCs w:val="28"/>
        </w:rPr>
        <w:t>资金进行重点说明。</w:t>
      </w:r>
    </w:p>
    <w:p w14:paraId="4BC81860"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第十八条</w:t>
      </w:r>
      <w:r>
        <w:rPr>
          <w:rFonts w:ascii="仿宋" w:hAnsi="仿宋" w:cs="Arial" w:hint="eastAsia"/>
          <w:b/>
          <w:bCs/>
          <w:kern w:val="0"/>
          <w:sz w:val="28"/>
          <w:szCs w:val="28"/>
        </w:rPr>
        <w:t xml:space="preserve"> </w:t>
      </w:r>
      <w:r>
        <w:rPr>
          <w:rFonts w:ascii="仿宋" w:hAnsi="仿宋" w:cs="Arial" w:hint="eastAsia"/>
          <w:kern w:val="0"/>
          <w:sz w:val="28"/>
          <w:szCs w:val="28"/>
        </w:rPr>
        <w:t>项目承担单位组织科研和财务管</w:t>
      </w:r>
      <w:r>
        <w:rPr>
          <w:rFonts w:ascii="仿宋" w:hAnsi="仿宋" w:cs="Arial" w:hint="eastAsia"/>
          <w:kern w:val="0"/>
          <w:sz w:val="28"/>
          <w:szCs w:val="28"/>
        </w:rPr>
        <w:t>理部门对项目预算进行审核。由多个单位共同承担同一项目的，项目承担单位的项目负责人和合作研究单位参与者根据各自承担的研究任务分别编报资金预算，经所在单位科研、财务部门审核并签署意见后，由项目负责人汇总编制。</w:t>
      </w:r>
    </w:p>
    <w:p w14:paraId="565BEEA5"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第十九条</w:t>
      </w:r>
      <w:r>
        <w:rPr>
          <w:rFonts w:ascii="仿宋" w:hAnsi="仿宋" w:cs="Arial" w:hint="eastAsia"/>
          <w:b/>
          <w:bCs/>
          <w:kern w:val="0"/>
          <w:sz w:val="28"/>
          <w:szCs w:val="28"/>
        </w:rPr>
        <w:t xml:space="preserve"> </w:t>
      </w:r>
      <w:r>
        <w:rPr>
          <w:rFonts w:ascii="仿宋" w:hAnsi="仿宋" w:cs="Arial" w:hint="eastAsia"/>
          <w:kern w:val="0"/>
          <w:sz w:val="28"/>
          <w:szCs w:val="28"/>
        </w:rPr>
        <w:t>省项目主管部门组织专家或择优遴选第三方机构对项目和资金预算进行评审</w:t>
      </w:r>
      <w:r>
        <w:rPr>
          <w:rFonts w:ascii="仿宋" w:hAnsi="仿宋" w:cs="Arial" w:hint="eastAsia"/>
          <w:kern w:val="0"/>
          <w:sz w:val="28"/>
          <w:szCs w:val="28"/>
        </w:rPr>
        <w:t>,</w:t>
      </w:r>
      <w:r>
        <w:rPr>
          <w:rFonts w:ascii="仿宋" w:hAnsi="仿宋" w:cs="Arial" w:hint="eastAsia"/>
          <w:kern w:val="0"/>
          <w:sz w:val="28"/>
          <w:szCs w:val="28"/>
        </w:rPr>
        <w:t>根据项目实际需求，结合专家评审意见，参考同类项目确定项目资助额度。</w:t>
      </w:r>
    </w:p>
    <w:p w14:paraId="1FDF23A2"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w:t>
      </w:r>
      <w:r>
        <w:rPr>
          <w:rFonts w:ascii="仿宋" w:hAnsi="仿宋" w:cs="Arial" w:hint="eastAsia"/>
          <w:b/>
          <w:bCs/>
          <w:kern w:val="0"/>
          <w:sz w:val="28"/>
          <w:szCs w:val="28"/>
        </w:rPr>
        <w:t xml:space="preserve">　第二十条</w:t>
      </w:r>
      <w:r>
        <w:rPr>
          <w:rFonts w:ascii="仿宋" w:hAnsi="仿宋" w:cs="Arial" w:hint="eastAsia"/>
          <w:b/>
          <w:bCs/>
          <w:kern w:val="0"/>
          <w:sz w:val="28"/>
          <w:szCs w:val="28"/>
        </w:rPr>
        <w:t xml:space="preserve"> </w:t>
      </w:r>
      <w:r>
        <w:rPr>
          <w:rFonts w:ascii="仿宋" w:hAnsi="仿宋" w:cs="Arial" w:hint="eastAsia"/>
          <w:kern w:val="0"/>
          <w:sz w:val="28"/>
          <w:szCs w:val="28"/>
        </w:rPr>
        <w:t>项目承担单位组织项目负责人根据批准的项目资助额度调整项目预算，并在收到资助通知之日起</w:t>
      </w:r>
      <w:r>
        <w:rPr>
          <w:rFonts w:ascii="仿宋" w:hAnsi="仿宋" w:cs="Arial" w:hint="eastAsia"/>
          <w:kern w:val="0"/>
          <w:sz w:val="28"/>
          <w:szCs w:val="28"/>
        </w:rPr>
        <w:t>30</w:t>
      </w:r>
      <w:r>
        <w:rPr>
          <w:rFonts w:ascii="仿宋" w:hAnsi="仿宋" w:cs="Arial" w:hint="eastAsia"/>
          <w:kern w:val="0"/>
          <w:sz w:val="28"/>
          <w:szCs w:val="28"/>
        </w:rPr>
        <w:t>日内完成审核，报省项目主管部门备案。</w:t>
      </w:r>
    </w:p>
    <w:p w14:paraId="4E66C2B6" w14:textId="77777777" w:rsidR="00143E6C" w:rsidRDefault="00B15C9C">
      <w:pPr>
        <w:widowControl/>
        <w:shd w:val="clear" w:color="auto" w:fill="FFFFFF"/>
        <w:adjustRightInd w:val="0"/>
        <w:snapToGrid w:val="0"/>
        <w:spacing w:line="360" w:lineRule="auto"/>
        <w:ind w:left="41" w:right="41"/>
        <w:jc w:val="center"/>
        <w:rPr>
          <w:rFonts w:ascii="仿宋" w:hAnsi="仿宋" w:cs="Arial"/>
          <w:kern w:val="0"/>
          <w:sz w:val="28"/>
          <w:szCs w:val="28"/>
        </w:rPr>
      </w:pPr>
      <w:r>
        <w:rPr>
          <w:rFonts w:ascii="仿宋" w:hAnsi="仿宋" w:cs="Arial" w:hint="eastAsia"/>
          <w:b/>
          <w:bCs/>
          <w:kern w:val="0"/>
          <w:sz w:val="28"/>
          <w:szCs w:val="28"/>
        </w:rPr>
        <w:t>第五章　预算执行</w:t>
      </w:r>
      <w:r>
        <w:rPr>
          <w:rFonts w:ascii="仿宋" w:hAnsi="仿宋" w:cs="Arial" w:hint="eastAsia"/>
          <w:b/>
          <w:bCs/>
          <w:kern w:val="0"/>
          <w:sz w:val="28"/>
          <w:szCs w:val="28"/>
        </w:rPr>
        <w:t>与决算</w:t>
      </w:r>
    </w:p>
    <w:p w14:paraId="5748972F"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第二十一条</w:t>
      </w:r>
      <w:r>
        <w:rPr>
          <w:rFonts w:ascii="仿宋" w:hAnsi="仿宋" w:cs="Arial" w:hint="eastAsia"/>
          <w:kern w:val="0"/>
          <w:sz w:val="28"/>
          <w:szCs w:val="28"/>
        </w:rPr>
        <w:t xml:space="preserve"> </w:t>
      </w:r>
      <w:r>
        <w:rPr>
          <w:rFonts w:ascii="仿宋" w:hAnsi="仿宋" w:cs="Arial" w:hint="eastAsia"/>
          <w:kern w:val="0"/>
          <w:sz w:val="28"/>
          <w:szCs w:val="28"/>
        </w:rPr>
        <w:t>省级财政科研资金可根据项目承担单位申请，通过其他直接支付方式直接拨付至单位账户。</w:t>
      </w:r>
    </w:p>
    <w:p w14:paraId="16DCC277"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lastRenderedPageBreak/>
        <w:t xml:space="preserve">　　第二十二条</w:t>
      </w:r>
      <w:r>
        <w:rPr>
          <w:rFonts w:ascii="仿宋" w:hAnsi="仿宋" w:cs="Arial" w:hint="eastAsia"/>
          <w:kern w:val="0"/>
          <w:sz w:val="28"/>
          <w:szCs w:val="28"/>
        </w:rPr>
        <w:t xml:space="preserve"> </w:t>
      </w:r>
      <w:r>
        <w:rPr>
          <w:rFonts w:ascii="仿宋" w:hAnsi="仿宋" w:cs="Arial" w:hint="eastAsia"/>
          <w:kern w:val="0"/>
          <w:sz w:val="28"/>
          <w:szCs w:val="28"/>
        </w:rPr>
        <w:t>项目承担单位应在单位账户下设省级科研项目资金子账户，对拨付至单位账户的科研项目资金实行专账管理，单独核算，专款专用，并对科研项目资金支出的真实性、合法性、完整性负责。</w:t>
      </w:r>
    </w:p>
    <w:p w14:paraId="2E1D0149"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由多个单位共同承担同一项目的，项目</w:t>
      </w:r>
      <w:proofErr w:type="gramStart"/>
      <w:r>
        <w:rPr>
          <w:rFonts w:ascii="仿宋" w:hAnsi="仿宋" w:cs="Arial" w:hint="eastAsia"/>
          <w:kern w:val="0"/>
          <w:sz w:val="28"/>
          <w:szCs w:val="28"/>
        </w:rPr>
        <w:t>主承担</w:t>
      </w:r>
      <w:proofErr w:type="gramEnd"/>
      <w:r>
        <w:rPr>
          <w:rFonts w:ascii="仿宋" w:hAnsi="仿宋" w:cs="Arial" w:hint="eastAsia"/>
          <w:kern w:val="0"/>
          <w:sz w:val="28"/>
          <w:szCs w:val="28"/>
        </w:rPr>
        <w:t>单位应及时按预算和合同转拨合作研究单位资金，并加强对转拨资金的监督管理。</w:t>
      </w:r>
    </w:p>
    <w:p w14:paraId="29C70DE2"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因项目负责人调动等因素导致项目</w:t>
      </w:r>
      <w:proofErr w:type="gramStart"/>
      <w:r>
        <w:rPr>
          <w:rFonts w:ascii="仿宋" w:hAnsi="仿宋" w:cs="Arial" w:hint="eastAsia"/>
          <w:kern w:val="0"/>
          <w:sz w:val="28"/>
          <w:szCs w:val="28"/>
        </w:rPr>
        <w:t>主承担</w:t>
      </w:r>
      <w:proofErr w:type="gramEnd"/>
      <w:r>
        <w:rPr>
          <w:rFonts w:ascii="仿宋" w:hAnsi="仿宋" w:cs="Arial" w:hint="eastAsia"/>
          <w:kern w:val="0"/>
          <w:sz w:val="28"/>
          <w:szCs w:val="28"/>
        </w:rPr>
        <w:t>单位变更，原主承担单位应与变更后的</w:t>
      </w:r>
      <w:proofErr w:type="gramStart"/>
      <w:r>
        <w:rPr>
          <w:rFonts w:ascii="仿宋" w:hAnsi="仿宋" w:cs="Arial" w:hint="eastAsia"/>
          <w:kern w:val="0"/>
          <w:sz w:val="28"/>
          <w:szCs w:val="28"/>
        </w:rPr>
        <w:t>主承担</w:t>
      </w:r>
      <w:proofErr w:type="gramEnd"/>
      <w:r>
        <w:rPr>
          <w:rFonts w:ascii="仿宋" w:hAnsi="仿宋" w:cs="Arial" w:hint="eastAsia"/>
          <w:kern w:val="0"/>
          <w:sz w:val="28"/>
          <w:szCs w:val="28"/>
        </w:rPr>
        <w:t>单位签订有关协议，明确责任义务，在报经省项目主管部门审批、省财政部门备案后，可由原主承担单位直接将经费拨付至变更后的</w:t>
      </w:r>
      <w:proofErr w:type="gramStart"/>
      <w:r>
        <w:rPr>
          <w:rFonts w:ascii="仿宋" w:hAnsi="仿宋" w:cs="Arial" w:hint="eastAsia"/>
          <w:kern w:val="0"/>
          <w:sz w:val="28"/>
          <w:szCs w:val="28"/>
        </w:rPr>
        <w:t>主承担</w:t>
      </w:r>
      <w:proofErr w:type="gramEnd"/>
      <w:r>
        <w:rPr>
          <w:rFonts w:ascii="仿宋" w:hAnsi="仿宋" w:cs="Arial" w:hint="eastAsia"/>
          <w:kern w:val="0"/>
          <w:sz w:val="28"/>
          <w:szCs w:val="28"/>
        </w:rPr>
        <w:t>单位。</w:t>
      </w:r>
    </w:p>
    <w:p w14:paraId="546C7210"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第二十三条</w:t>
      </w:r>
      <w:r>
        <w:rPr>
          <w:rFonts w:ascii="仿宋" w:hAnsi="仿宋" w:cs="Arial" w:hint="eastAsia"/>
          <w:kern w:val="0"/>
          <w:sz w:val="28"/>
          <w:szCs w:val="28"/>
        </w:rPr>
        <w:t xml:space="preserve"> </w:t>
      </w:r>
      <w:r>
        <w:rPr>
          <w:rFonts w:ascii="仿宋" w:hAnsi="仿宋" w:cs="Arial" w:hint="eastAsia"/>
          <w:kern w:val="0"/>
          <w:sz w:val="28"/>
          <w:szCs w:val="28"/>
        </w:rPr>
        <w:t>资助香港、澳门特区高校、科研机构的省科研项目经费，应按照国库集中支付的有关规定和向境外支付的有关要求，由项目主管部门及时组织拨付至港澳特区高校、科研机构。其中，港澳特区</w:t>
      </w:r>
      <w:r>
        <w:rPr>
          <w:rFonts w:ascii="仿宋" w:hAnsi="仿宋" w:cs="Arial" w:hint="eastAsia"/>
          <w:kern w:val="0"/>
          <w:sz w:val="28"/>
          <w:szCs w:val="28"/>
        </w:rPr>
        <w:t>高校、科研机构与省内单位联合承担的项目，项目经费可分别拨付至港澳特区高校、科研机构和省内单位。</w:t>
      </w:r>
    </w:p>
    <w:p w14:paraId="5F60BD48"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第二十四条</w:t>
      </w:r>
      <w:r>
        <w:rPr>
          <w:rFonts w:ascii="仿宋" w:hAnsi="仿宋" w:cs="Arial" w:hint="eastAsia"/>
          <w:b/>
          <w:bCs/>
          <w:kern w:val="0"/>
          <w:sz w:val="28"/>
          <w:szCs w:val="28"/>
        </w:rPr>
        <w:t xml:space="preserve"> </w:t>
      </w:r>
      <w:r>
        <w:rPr>
          <w:rFonts w:ascii="仿宋" w:hAnsi="仿宋" w:cs="Arial" w:hint="eastAsia"/>
          <w:kern w:val="0"/>
          <w:sz w:val="28"/>
          <w:szCs w:val="28"/>
        </w:rPr>
        <w:t>项目负责人应按项目预算执行。在科研项目实施期间，项目负责人可以在研究方向不变、不降低申报指标的前提下，自主调整研究方案、技术路线和科研团队人员。涉及重大调整事项，项目承担单位应及</w:t>
      </w:r>
      <w:proofErr w:type="gramStart"/>
      <w:r>
        <w:rPr>
          <w:rFonts w:ascii="仿宋" w:hAnsi="仿宋" w:cs="Arial" w:hint="eastAsia"/>
          <w:kern w:val="0"/>
          <w:sz w:val="28"/>
          <w:szCs w:val="28"/>
        </w:rPr>
        <w:t>时报省</w:t>
      </w:r>
      <w:proofErr w:type="gramEnd"/>
      <w:r>
        <w:rPr>
          <w:rFonts w:ascii="仿宋" w:hAnsi="仿宋" w:cs="Arial" w:hint="eastAsia"/>
          <w:kern w:val="0"/>
          <w:sz w:val="28"/>
          <w:szCs w:val="28"/>
        </w:rPr>
        <w:t>项目主管部门备案。</w:t>
      </w:r>
    </w:p>
    <w:p w14:paraId="1D4A5B75"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w:t>
      </w:r>
      <w:r>
        <w:rPr>
          <w:rFonts w:ascii="仿宋" w:hAnsi="仿宋" w:cs="Arial" w:hint="eastAsia"/>
          <w:b/>
          <w:bCs/>
          <w:kern w:val="0"/>
          <w:sz w:val="28"/>
          <w:szCs w:val="28"/>
        </w:rPr>
        <w:t xml:space="preserve">　第二十五条</w:t>
      </w:r>
      <w:r>
        <w:rPr>
          <w:rFonts w:ascii="仿宋" w:hAnsi="仿宋" w:cs="Arial" w:hint="eastAsia"/>
          <w:kern w:val="0"/>
          <w:sz w:val="28"/>
          <w:szCs w:val="28"/>
        </w:rPr>
        <w:t xml:space="preserve"> </w:t>
      </w:r>
      <w:r>
        <w:rPr>
          <w:rFonts w:ascii="仿宋" w:hAnsi="仿宋" w:cs="Arial" w:hint="eastAsia"/>
          <w:kern w:val="0"/>
          <w:sz w:val="28"/>
          <w:szCs w:val="28"/>
        </w:rPr>
        <w:t>项目承担单位应建立健全科研财务助理制度，为科研人员在项目预算编制和预算调整、资金开支、财务决算和验收方面提供专业化服务，有关费用纳入科研项目经费直接费用开支。</w:t>
      </w:r>
    </w:p>
    <w:p w14:paraId="48A36B59"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w:t>
      </w:r>
      <w:r>
        <w:rPr>
          <w:rFonts w:ascii="仿宋" w:hAnsi="仿宋" w:cs="Arial" w:hint="eastAsia"/>
          <w:b/>
          <w:bCs/>
          <w:kern w:val="0"/>
          <w:sz w:val="28"/>
          <w:szCs w:val="28"/>
        </w:rPr>
        <w:t xml:space="preserve">　第二十六条</w:t>
      </w:r>
      <w:r>
        <w:rPr>
          <w:rFonts w:ascii="仿宋" w:hAnsi="仿宋" w:cs="Arial" w:hint="eastAsia"/>
          <w:kern w:val="0"/>
          <w:sz w:val="28"/>
          <w:szCs w:val="28"/>
        </w:rPr>
        <w:t xml:space="preserve"> </w:t>
      </w:r>
      <w:r>
        <w:rPr>
          <w:rFonts w:ascii="仿宋" w:hAnsi="仿宋" w:cs="Arial" w:hint="eastAsia"/>
          <w:kern w:val="0"/>
          <w:sz w:val="28"/>
          <w:szCs w:val="28"/>
        </w:rPr>
        <w:t>科研</w:t>
      </w:r>
      <w:r>
        <w:rPr>
          <w:rFonts w:ascii="仿宋" w:hAnsi="仿宋" w:cs="Arial" w:hint="eastAsia"/>
          <w:kern w:val="0"/>
          <w:sz w:val="28"/>
          <w:szCs w:val="28"/>
        </w:rPr>
        <w:t>项目实施过程中，直接费用中各项费用的预算调整可由项目承担单位自主办理，提高办理效率。项目承担单位应制定本单位科研项目预算调整管理办法，规范预算调整行为。</w:t>
      </w:r>
    </w:p>
    <w:p w14:paraId="405A18FD"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lastRenderedPageBreak/>
        <w:t xml:space="preserve">　　（一）项目负责人根据科研活动的实际需要，经项目承担单位批准后对直接费用中各项费用进行调剂。</w:t>
      </w:r>
    </w:p>
    <w:p w14:paraId="5B7D6BB7"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（二）项目间接费用不得调增。</w:t>
      </w:r>
    </w:p>
    <w:p w14:paraId="759A2218"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（三）项目预算总额不变，合作研究单位之间发生预算调剂，或者由于合作研究单位增加（减少）发生预算调剂的，应协商一致并重新签订合作协议后办理，并报省项目主管部门备案。</w:t>
      </w:r>
    </w:p>
    <w:p w14:paraId="351AF206"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（四）预算调整情况应在结题验收报告中予以说明，并在项目承</w:t>
      </w:r>
      <w:r>
        <w:rPr>
          <w:rFonts w:ascii="仿宋" w:hAnsi="仿宋" w:cs="Arial" w:hint="eastAsia"/>
          <w:kern w:val="0"/>
          <w:sz w:val="28"/>
          <w:szCs w:val="28"/>
        </w:rPr>
        <w:t>担单位内部公开。</w:t>
      </w:r>
    </w:p>
    <w:p w14:paraId="65C39B08"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第二十七条</w:t>
      </w:r>
      <w:r>
        <w:rPr>
          <w:rFonts w:ascii="仿宋" w:hAnsi="仿宋" w:cs="Arial" w:hint="eastAsia"/>
          <w:kern w:val="0"/>
          <w:sz w:val="28"/>
          <w:szCs w:val="28"/>
        </w:rPr>
        <w:t xml:space="preserve"> </w:t>
      </w:r>
      <w:r>
        <w:rPr>
          <w:rFonts w:ascii="仿宋" w:hAnsi="仿宋" w:cs="Arial" w:hint="eastAsia"/>
          <w:kern w:val="0"/>
          <w:sz w:val="28"/>
          <w:szCs w:val="28"/>
        </w:rPr>
        <w:t>项目预算执行中有以下情况需要预算调整的，由项目负责人提出申请，经项目承担单位审核同意后，报省项目主管部门审批。</w:t>
      </w:r>
    </w:p>
    <w:p w14:paraId="1C1F6D5B"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（一）由于研究内容或者研究计划</w:t>
      </w:r>
      <w:proofErr w:type="gramStart"/>
      <w:r>
        <w:rPr>
          <w:rFonts w:ascii="仿宋" w:hAnsi="仿宋" w:cs="Arial" w:hint="eastAsia"/>
          <w:kern w:val="0"/>
          <w:sz w:val="28"/>
          <w:szCs w:val="28"/>
        </w:rPr>
        <w:t>作出</w:t>
      </w:r>
      <w:proofErr w:type="gramEnd"/>
      <w:r>
        <w:rPr>
          <w:rFonts w:ascii="仿宋" w:hAnsi="仿宋" w:cs="Arial" w:hint="eastAsia"/>
          <w:kern w:val="0"/>
          <w:sz w:val="28"/>
          <w:szCs w:val="28"/>
        </w:rPr>
        <w:t>重大调整等原因，需要增加或减少项目预算总额；</w:t>
      </w:r>
    </w:p>
    <w:p w14:paraId="7CB301AA"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（二）原项目预算</w:t>
      </w:r>
      <w:proofErr w:type="gramStart"/>
      <w:r>
        <w:rPr>
          <w:rFonts w:ascii="仿宋" w:hAnsi="仿宋" w:cs="Arial" w:hint="eastAsia"/>
          <w:kern w:val="0"/>
          <w:sz w:val="28"/>
          <w:szCs w:val="28"/>
        </w:rPr>
        <w:t>未列示外拨资金</w:t>
      </w:r>
      <w:proofErr w:type="gramEnd"/>
      <w:r>
        <w:rPr>
          <w:rFonts w:ascii="仿宋" w:hAnsi="仿宋" w:cs="Arial" w:hint="eastAsia"/>
          <w:kern w:val="0"/>
          <w:sz w:val="28"/>
          <w:szCs w:val="28"/>
        </w:rPr>
        <w:t>，需要增列。</w:t>
      </w:r>
    </w:p>
    <w:p w14:paraId="7A53CD24"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第二十八条</w:t>
      </w:r>
      <w:r>
        <w:rPr>
          <w:rFonts w:ascii="仿宋" w:hAnsi="仿宋" w:cs="Arial" w:hint="eastAsia"/>
          <w:kern w:val="0"/>
          <w:sz w:val="28"/>
          <w:szCs w:val="28"/>
        </w:rPr>
        <w:t xml:space="preserve"> </w:t>
      </w:r>
      <w:r>
        <w:rPr>
          <w:rFonts w:ascii="仿宋" w:hAnsi="仿宋" w:cs="Arial" w:hint="eastAsia"/>
          <w:kern w:val="0"/>
          <w:sz w:val="28"/>
          <w:szCs w:val="28"/>
        </w:rPr>
        <w:t>科研资金支出原则上应当通过银行转账、公务卡、支票等非现金方式结算。</w:t>
      </w:r>
    </w:p>
    <w:p w14:paraId="7BF1DDFA"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对于不具备非现金方式结算条件、但科研工作实际需要发生的支出，报经单位内部核准后，可以现金结算。</w:t>
      </w:r>
    </w:p>
    <w:p w14:paraId="08DDC26D"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项目承担单位应制定相关实施细则，明确不具备非现金方式结算条件情形下的财务审批程序和报销手续，从严控制现金支出事项，减少现金提取和使用。</w:t>
      </w:r>
    </w:p>
    <w:p w14:paraId="3E7873CA"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第二十九条</w:t>
      </w:r>
      <w:r>
        <w:rPr>
          <w:rFonts w:ascii="仿宋" w:hAnsi="仿宋" w:cs="Arial" w:hint="eastAsia"/>
          <w:kern w:val="0"/>
          <w:sz w:val="28"/>
          <w:szCs w:val="28"/>
        </w:rPr>
        <w:t xml:space="preserve"> </w:t>
      </w:r>
      <w:r>
        <w:rPr>
          <w:rFonts w:ascii="仿宋" w:hAnsi="仿宋" w:cs="Arial" w:hint="eastAsia"/>
          <w:kern w:val="0"/>
          <w:sz w:val="28"/>
          <w:szCs w:val="28"/>
        </w:rPr>
        <w:t>项目负责人应严格按照资金开支范围和标准开支项目经费。不得擅自</w:t>
      </w:r>
      <w:proofErr w:type="gramStart"/>
      <w:r>
        <w:rPr>
          <w:rFonts w:ascii="仿宋" w:hAnsi="仿宋" w:cs="Arial" w:hint="eastAsia"/>
          <w:kern w:val="0"/>
          <w:sz w:val="28"/>
          <w:szCs w:val="28"/>
        </w:rPr>
        <w:t>调整外拨资金</w:t>
      </w:r>
      <w:proofErr w:type="gramEnd"/>
      <w:r>
        <w:rPr>
          <w:rFonts w:ascii="仿宋" w:hAnsi="仿宋" w:cs="Arial" w:hint="eastAsia"/>
          <w:kern w:val="0"/>
          <w:sz w:val="28"/>
          <w:szCs w:val="28"/>
        </w:rPr>
        <w:t>，不得利用虚假票据套取资金，不得通过编造虚假劳务合同、虚构人员名单等方式虚报冒领劳务费和专家咨询费，不得通过虚构测试化验内容、提高测试化验支出标</w:t>
      </w:r>
      <w:r>
        <w:rPr>
          <w:rFonts w:ascii="仿宋" w:hAnsi="仿宋" w:cs="Arial" w:hint="eastAsia"/>
          <w:kern w:val="0"/>
          <w:sz w:val="28"/>
          <w:szCs w:val="28"/>
        </w:rPr>
        <w:lastRenderedPageBreak/>
        <w:t>准等方式违规开支测试化验加工费。严禁使用</w:t>
      </w:r>
      <w:r>
        <w:rPr>
          <w:rFonts w:ascii="仿宋" w:hAnsi="仿宋" w:cs="Arial" w:hint="eastAsia"/>
          <w:kern w:val="0"/>
          <w:sz w:val="28"/>
          <w:szCs w:val="28"/>
        </w:rPr>
        <w:t>项目资金支付各种罚款、捐款、赞助、投资等。</w:t>
      </w:r>
    </w:p>
    <w:p w14:paraId="2DFEDBF5"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第三十条</w:t>
      </w:r>
      <w:r>
        <w:rPr>
          <w:rFonts w:ascii="仿宋" w:hAnsi="仿宋" w:cs="Arial" w:hint="eastAsia"/>
          <w:kern w:val="0"/>
          <w:sz w:val="28"/>
          <w:szCs w:val="28"/>
        </w:rPr>
        <w:t xml:space="preserve"> </w:t>
      </w:r>
      <w:r>
        <w:rPr>
          <w:rFonts w:ascii="仿宋" w:hAnsi="仿宋" w:cs="Arial" w:hint="eastAsia"/>
          <w:kern w:val="0"/>
          <w:sz w:val="28"/>
          <w:szCs w:val="28"/>
        </w:rPr>
        <w:t>对因故被终止实施的项目，以及因故被撤销的项目，省项目主管部门应及时通知省财政部门收回项目财政资金。项目承担单位应在接到有关通知后</w:t>
      </w:r>
      <w:r>
        <w:rPr>
          <w:rFonts w:ascii="仿宋" w:hAnsi="仿宋" w:cs="Arial" w:hint="eastAsia"/>
          <w:kern w:val="0"/>
          <w:sz w:val="28"/>
          <w:szCs w:val="28"/>
        </w:rPr>
        <w:t>30</w:t>
      </w:r>
      <w:r>
        <w:rPr>
          <w:rFonts w:ascii="仿宋" w:hAnsi="仿宋" w:cs="Arial" w:hint="eastAsia"/>
          <w:kern w:val="0"/>
          <w:sz w:val="28"/>
          <w:szCs w:val="28"/>
        </w:rPr>
        <w:t>日内退回财政资金。</w:t>
      </w:r>
    </w:p>
    <w:p w14:paraId="25491C19"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第三十一条</w:t>
      </w:r>
      <w:r>
        <w:rPr>
          <w:rFonts w:ascii="仿宋" w:hAnsi="仿宋" w:cs="Arial" w:hint="eastAsia"/>
          <w:b/>
          <w:bCs/>
          <w:kern w:val="0"/>
          <w:sz w:val="28"/>
          <w:szCs w:val="28"/>
        </w:rPr>
        <w:t xml:space="preserve"> </w:t>
      </w:r>
      <w:r>
        <w:rPr>
          <w:rFonts w:ascii="仿宋" w:hAnsi="仿宋" w:cs="Arial" w:hint="eastAsia"/>
          <w:kern w:val="0"/>
          <w:sz w:val="28"/>
          <w:szCs w:val="28"/>
        </w:rPr>
        <w:t>项目实施期间，年度剩余资金可结转下一年度继续使用。项目完成任务目标并通过验收后，结余资金留归项目承担单位使用，由项目承担单位统筹安排用于科研活动的直接支出。</w:t>
      </w:r>
    </w:p>
    <w:p w14:paraId="00C7B99C"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第三十二条</w:t>
      </w:r>
      <w:r>
        <w:rPr>
          <w:rFonts w:ascii="仿宋" w:hAnsi="仿宋" w:cs="Arial" w:hint="eastAsia"/>
          <w:kern w:val="0"/>
          <w:sz w:val="28"/>
          <w:szCs w:val="28"/>
        </w:rPr>
        <w:t xml:space="preserve"> </w:t>
      </w:r>
      <w:r>
        <w:rPr>
          <w:rFonts w:ascii="仿宋" w:hAnsi="仿宋" w:cs="Arial" w:hint="eastAsia"/>
          <w:kern w:val="0"/>
          <w:sz w:val="28"/>
          <w:szCs w:val="28"/>
        </w:rPr>
        <w:t>项目研究结束后，项目负责人应会同科研、财务、资产等管理部门及时清理账目与资产，如实编制项目资金决算，不得随意调账</w:t>
      </w:r>
      <w:r>
        <w:rPr>
          <w:rFonts w:ascii="仿宋" w:hAnsi="仿宋" w:cs="Arial" w:hint="eastAsia"/>
          <w:kern w:val="0"/>
          <w:sz w:val="28"/>
          <w:szCs w:val="28"/>
        </w:rPr>
        <w:t>变动支出、随意修改记账凭证。行政事业单位使用项目资金形成的资产，由项目承担单位按照国有资产管理规定管理使用。</w:t>
      </w:r>
    </w:p>
    <w:p w14:paraId="092856F0"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有多个单位共同承担一个项目的，项目承担单位的项目负责人和合作研究单位的参与者应分别编报项目资金决算，经所在单位科研、财务管理部门审核并签署意见后，由项目承担单位的项目负责人汇总编制。</w:t>
      </w:r>
    </w:p>
    <w:p w14:paraId="6B9BF0AE"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项目承担单位应组织其科研、财务等管理部门审核项目资金决算，并签署意见后报省项目主管部门。</w:t>
      </w:r>
    </w:p>
    <w:p w14:paraId="586D3118"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第三十三条</w:t>
      </w:r>
      <w:r>
        <w:rPr>
          <w:rFonts w:ascii="仿宋" w:hAnsi="仿宋" w:cs="Arial" w:hint="eastAsia"/>
          <w:kern w:val="0"/>
          <w:sz w:val="28"/>
          <w:szCs w:val="28"/>
        </w:rPr>
        <w:t xml:space="preserve"> </w:t>
      </w:r>
      <w:r>
        <w:rPr>
          <w:rFonts w:ascii="仿宋" w:hAnsi="仿宋" w:cs="Arial" w:hint="eastAsia"/>
          <w:kern w:val="0"/>
          <w:sz w:val="28"/>
          <w:szCs w:val="28"/>
        </w:rPr>
        <w:t>项目承担单位属于高校和科研院所的，可自行采购科研仪器设备，自行选择科研仪器设备评审专家。高校和科研院所应</w:t>
      </w:r>
      <w:r>
        <w:rPr>
          <w:rFonts w:ascii="仿宋" w:hAnsi="仿宋" w:cs="Arial" w:hint="eastAsia"/>
          <w:kern w:val="0"/>
          <w:sz w:val="28"/>
          <w:szCs w:val="28"/>
        </w:rPr>
        <w:t>简化科研仪器设备采购流程，对科研急需的设备和耗材，经项目承担单位负责人批准，采用</w:t>
      </w:r>
      <w:proofErr w:type="gramStart"/>
      <w:r>
        <w:rPr>
          <w:rFonts w:ascii="仿宋" w:hAnsi="仿宋" w:cs="Arial" w:hint="eastAsia"/>
          <w:kern w:val="0"/>
          <w:sz w:val="28"/>
          <w:szCs w:val="28"/>
        </w:rPr>
        <w:t>特</w:t>
      </w:r>
      <w:proofErr w:type="gramEnd"/>
      <w:r>
        <w:rPr>
          <w:rFonts w:ascii="仿宋" w:hAnsi="仿宋" w:cs="Arial" w:hint="eastAsia"/>
          <w:kern w:val="0"/>
          <w:sz w:val="28"/>
          <w:szCs w:val="28"/>
        </w:rPr>
        <w:t>事特办、随到随办的采购机制，可不进行招投标程序，缩短采购周期。对于独家代理或生产的仪器设备，可按规定程序确定采取单一来源采购等方式，增强采购灵活性和便利性。</w:t>
      </w:r>
    </w:p>
    <w:p w14:paraId="70013AE9" w14:textId="77777777" w:rsidR="00143E6C" w:rsidRDefault="00B15C9C">
      <w:pPr>
        <w:widowControl/>
        <w:shd w:val="clear" w:color="auto" w:fill="FFFFFF"/>
        <w:adjustRightInd w:val="0"/>
        <w:snapToGrid w:val="0"/>
        <w:spacing w:line="360" w:lineRule="auto"/>
        <w:ind w:left="41" w:right="41"/>
        <w:jc w:val="center"/>
        <w:rPr>
          <w:rFonts w:ascii="仿宋" w:hAnsi="仿宋" w:cs="Arial"/>
          <w:kern w:val="0"/>
          <w:sz w:val="28"/>
          <w:szCs w:val="28"/>
        </w:rPr>
      </w:pPr>
      <w:r>
        <w:rPr>
          <w:rFonts w:ascii="仿宋" w:hAnsi="仿宋" w:cs="Arial" w:hint="eastAsia"/>
          <w:b/>
          <w:bCs/>
          <w:kern w:val="0"/>
          <w:sz w:val="28"/>
          <w:szCs w:val="28"/>
        </w:rPr>
        <w:lastRenderedPageBreak/>
        <w:t>第六章　监督管理</w:t>
      </w:r>
    </w:p>
    <w:p w14:paraId="7A3DEAA3"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第三十四条</w:t>
      </w:r>
      <w:r>
        <w:rPr>
          <w:rFonts w:ascii="仿宋" w:hAnsi="仿宋" w:cs="Arial" w:hint="eastAsia"/>
          <w:kern w:val="0"/>
          <w:sz w:val="28"/>
          <w:szCs w:val="28"/>
        </w:rPr>
        <w:t xml:space="preserve"> </w:t>
      </w:r>
      <w:r>
        <w:rPr>
          <w:rFonts w:ascii="仿宋" w:hAnsi="仿宋" w:cs="Arial" w:hint="eastAsia"/>
          <w:kern w:val="0"/>
          <w:sz w:val="28"/>
          <w:szCs w:val="28"/>
        </w:rPr>
        <w:t>省项目主管部门应建立健全对项目承担单位开展科研活动和科研资金管理的事中和事后监督机制，合理制定科研项目年度监督检查计划，在相对集中时间联合相关部门开展联合检查和抽查，避免重复检查、多头检查。</w:t>
      </w:r>
    </w:p>
    <w:p w14:paraId="345F61EE"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制定年度监督检查计划时，应统筹考虑其他部门的检查计划，充分利用大数据等信息技术提高监督检查效率，实行监督检查结果信息共享和互认。</w:t>
      </w:r>
    </w:p>
    <w:p w14:paraId="4A3CC4E5"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项目承担单位和项目负责人应主动配合省有关部门的检查与监督，对于在项目实施期内已开展同类检查和审计活动的，及时提供检查结果和结论。对审计机关开展的各项审计项目，应及时提供相关数据资料</w:t>
      </w:r>
      <w:r>
        <w:rPr>
          <w:rFonts w:ascii="仿宋" w:hAnsi="仿宋" w:cs="Arial" w:hint="eastAsia"/>
          <w:kern w:val="0"/>
          <w:sz w:val="28"/>
          <w:szCs w:val="28"/>
        </w:rPr>
        <w:t>（含电子数据资料）。</w:t>
      </w:r>
    </w:p>
    <w:p w14:paraId="185A7271"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第三十五条</w:t>
      </w:r>
      <w:r>
        <w:rPr>
          <w:rFonts w:ascii="仿宋" w:hAnsi="仿宋" w:cs="Arial" w:hint="eastAsia"/>
          <w:kern w:val="0"/>
          <w:sz w:val="28"/>
          <w:szCs w:val="28"/>
        </w:rPr>
        <w:t xml:space="preserve"> </w:t>
      </w:r>
      <w:r>
        <w:rPr>
          <w:rFonts w:ascii="仿宋" w:hAnsi="仿宋" w:cs="Arial" w:hint="eastAsia"/>
          <w:kern w:val="0"/>
          <w:sz w:val="28"/>
          <w:szCs w:val="28"/>
        </w:rPr>
        <w:t>项目承担单位应监督项目负责人建立科研管理日志制度，据实记录科研活动和过程管理。科研项目管理日志的记录情况纳入项目承担单位对项目负责人的管理考评范围。</w:t>
      </w:r>
    </w:p>
    <w:p w14:paraId="60E50615"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项目承担单位应在项目实施期末自主选择具有资质的第三方中介机构进行结题财务审计。</w:t>
      </w:r>
    </w:p>
    <w:p w14:paraId="4D2733D6"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项目承担单位必须在单位内部实行项目公开制度，公开项目预算、预算调整、项目决算、资金使用（重点是间接费用中的绩效支出、</w:t>
      </w:r>
      <w:proofErr w:type="gramStart"/>
      <w:r>
        <w:rPr>
          <w:rFonts w:ascii="仿宋" w:hAnsi="仿宋" w:cs="Arial" w:hint="eastAsia"/>
          <w:kern w:val="0"/>
          <w:sz w:val="28"/>
          <w:szCs w:val="28"/>
        </w:rPr>
        <w:t>外拨资金</w:t>
      </w:r>
      <w:proofErr w:type="gramEnd"/>
      <w:r>
        <w:rPr>
          <w:rFonts w:ascii="仿宋" w:hAnsi="仿宋" w:cs="Arial" w:hint="eastAsia"/>
          <w:kern w:val="0"/>
          <w:sz w:val="28"/>
          <w:szCs w:val="28"/>
        </w:rPr>
        <w:t>、委托服务、结余资金使用）、研究成果等项目信息，接受社会监督。</w:t>
      </w:r>
    </w:p>
    <w:p w14:paraId="73FC7B45"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第三十六条</w:t>
      </w:r>
      <w:r>
        <w:rPr>
          <w:rFonts w:ascii="仿宋" w:hAnsi="仿宋" w:cs="Arial" w:hint="eastAsia"/>
          <w:kern w:val="0"/>
          <w:sz w:val="28"/>
          <w:szCs w:val="28"/>
        </w:rPr>
        <w:t xml:space="preserve"> </w:t>
      </w:r>
      <w:r>
        <w:rPr>
          <w:rFonts w:ascii="仿宋" w:hAnsi="仿宋" w:cs="Arial" w:hint="eastAsia"/>
          <w:kern w:val="0"/>
          <w:sz w:val="28"/>
          <w:szCs w:val="28"/>
        </w:rPr>
        <w:t>省财政部门对不按规定编制项目资金</w:t>
      </w:r>
      <w:r>
        <w:rPr>
          <w:rFonts w:ascii="仿宋" w:hAnsi="仿宋" w:cs="Arial" w:hint="eastAsia"/>
          <w:kern w:val="0"/>
          <w:sz w:val="28"/>
          <w:szCs w:val="28"/>
        </w:rPr>
        <w:t>预算、不按规定使用资金、不按规定进行会计核算、不按规定报送年度收支报告、不按规定编报项目决算的，按照《中华人民共和国预算法》《广东</w:t>
      </w:r>
      <w:r>
        <w:rPr>
          <w:rFonts w:ascii="仿宋" w:hAnsi="仿宋" w:cs="Arial" w:hint="eastAsia"/>
          <w:kern w:val="0"/>
          <w:sz w:val="28"/>
          <w:szCs w:val="28"/>
        </w:rPr>
        <w:lastRenderedPageBreak/>
        <w:t>省自主创新促进条例》《会计法》和《财政违法行为处罚处分条例》等法律法规处理。</w:t>
      </w:r>
    </w:p>
    <w:p w14:paraId="381200CD"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对截留、挪用、侵占、虚报冒领项目资金的直接负责主管人员和其他直接责任人员，移送有关主管机关、单位处理；涉嫌犯罪的，依法移送司法机关处理。</w:t>
      </w:r>
    </w:p>
    <w:p w14:paraId="25B58055"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第三十七条</w:t>
      </w:r>
      <w:r>
        <w:rPr>
          <w:rFonts w:ascii="仿宋" w:hAnsi="仿宋" w:cs="Arial" w:hint="eastAsia"/>
          <w:b/>
          <w:bCs/>
          <w:kern w:val="0"/>
          <w:sz w:val="28"/>
          <w:szCs w:val="28"/>
        </w:rPr>
        <w:t xml:space="preserve"> </w:t>
      </w:r>
      <w:r>
        <w:rPr>
          <w:rFonts w:ascii="仿宋" w:hAnsi="仿宋" w:cs="Arial" w:hint="eastAsia"/>
          <w:kern w:val="0"/>
          <w:sz w:val="28"/>
          <w:szCs w:val="28"/>
        </w:rPr>
        <w:t>省审计机关开展相关审计或审计调查时，可根据审计工作需要依法对社会审计机构出具的科研项目结题财务审计报告和其他相关审计报告进行核查或抽查，如发现社会</w:t>
      </w:r>
      <w:r>
        <w:rPr>
          <w:rFonts w:ascii="仿宋" w:hAnsi="仿宋" w:cs="Arial" w:hint="eastAsia"/>
          <w:kern w:val="0"/>
          <w:sz w:val="28"/>
          <w:szCs w:val="28"/>
        </w:rPr>
        <w:t>审计机构存在违反法律、法规或者职业准则等情况的，移送有关主管机关依法追究责任。</w:t>
      </w:r>
    </w:p>
    <w:p w14:paraId="3F08F7C6"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对审计中发现的违反国家规定的财政收支、财务收支行为，在法定职权范围内</w:t>
      </w:r>
      <w:proofErr w:type="gramStart"/>
      <w:r>
        <w:rPr>
          <w:rFonts w:ascii="仿宋" w:hAnsi="仿宋" w:cs="Arial" w:hint="eastAsia"/>
          <w:kern w:val="0"/>
          <w:sz w:val="28"/>
          <w:szCs w:val="28"/>
        </w:rPr>
        <w:t>作出</w:t>
      </w:r>
      <w:proofErr w:type="gramEnd"/>
      <w:r>
        <w:rPr>
          <w:rFonts w:ascii="仿宋" w:hAnsi="仿宋" w:cs="Arial" w:hint="eastAsia"/>
          <w:kern w:val="0"/>
          <w:sz w:val="28"/>
          <w:szCs w:val="28"/>
        </w:rPr>
        <w:t>处理、处罚决定或移送有关主管部门处理；涉嫌违纪违法的，移送有关机关、单位依纪依法追究责任。</w:t>
      </w:r>
    </w:p>
    <w:p w14:paraId="561637ED"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第三十八条</w:t>
      </w:r>
      <w:r>
        <w:rPr>
          <w:rFonts w:ascii="仿宋" w:hAnsi="仿宋" w:cs="Arial" w:hint="eastAsia"/>
          <w:b/>
          <w:bCs/>
          <w:kern w:val="0"/>
          <w:sz w:val="28"/>
          <w:szCs w:val="28"/>
        </w:rPr>
        <w:t xml:space="preserve"> </w:t>
      </w:r>
      <w:r>
        <w:rPr>
          <w:rFonts w:ascii="仿宋" w:hAnsi="仿宋" w:cs="Arial" w:hint="eastAsia"/>
          <w:kern w:val="0"/>
          <w:sz w:val="28"/>
          <w:szCs w:val="28"/>
        </w:rPr>
        <w:t>严格执行省级财政科研项目严重失信行为记录与惩戒有关规定，省科技主管部门会同相关部门对严重违背科研诚信要求的行为实行终身追责。对严重违背科研诚信要求的相关科研人员、项目负责人及违反职业规范、职业道德的第三方中介机构采取联合惩戒措施，按照科研项目管理相</w:t>
      </w:r>
      <w:r>
        <w:rPr>
          <w:rFonts w:ascii="仿宋" w:hAnsi="仿宋" w:cs="Arial" w:hint="eastAsia"/>
          <w:kern w:val="0"/>
          <w:sz w:val="28"/>
          <w:szCs w:val="28"/>
        </w:rPr>
        <w:t>关规定记入诚信档案，并纳入科研活动黑名单。</w:t>
      </w:r>
    </w:p>
    <w:p w14:paraId="2D6C6680"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第三十九条</w:t>
      </w:r>
      <w:r>
        <w:rPr>
          <w:rFonts w:ascii="仿宋" w:hAnsi="仿宋" w:cs="Arial" w:hint="eastAsia"/>
          <w:b/>
          <w:bCs/>
          <w:kern w:val="0"/>
          <w:sz w:val="28"/>
          <w:szCs w:val="28"/>
        </w:rPr>
        <w:t xml:space="preserve"> </w:t>
      </w:r>
      <w:r>
        <w:rPr>
          <w:rFonts w:ascii="仿宋" w:hAnsi="仿宋" w:cs="Arial" w:hint="eastAsia"/>
          <w:kern w:val="0"/>
          <w:sz w:val="28"/>
          <w:szCs w:val="28"/>
        </w:rPr>
        <w:t>任何单位和个人发现科研项目资金在使用和管理过程中或第三方中介机构在开展财务审计、项目申报咨询等活动中有违法违规行为的，有权检举和举报。</w:t>
      </w:r>
    </w:p>
    <w:p w14:paraId="32A50974" w14:textId="77777777" w:rsidR="00143E6C" w:rsidRDefault="00B15C9C">
      <w:pPr>
        <w:widowControl/>
        <w:shd w:val="clear" w:color="auto" w:fill="FFFFFF"/>
        <w:adjustRightInd w:val="0"/>
        <w:snapToGrid w:val="0"/>
        <w:spacing w:line="360" w:lineRule="auto"/>
        <w:ind w:left="41" w:right="41"/>
        <w:jc w:val="center"/>
        <w:rPr>
          <w:rFonts w:ascii="仿宋" w:hAnsi="仿宋" w:cs="Arial"/>
          <w:kern w:val="0"/>
          <w:sz w:val="28"/>
          <w:szCs w:val="28"/>
        </w:rPr>
      </w:pPr>
      <w:r>
        <w:rPr>
          <w:rFonts w:ascii="仿宋" w:hAnsi="仿宋" w:cs="Arial" w:hint="eastAsia"/>
          <w:b/>
          <w:bCs/>
          <w:kern w:val="0"/>
          <w:sz w:val="28"/>
          <w:szCs w:val="28"/>
        </w:rPr>
        <w:t>第七章　绩效评价</w:t>
      </w:r>
    </w:p>
    <w:p w14:paraId="00686F87"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lastRenderedPageBreak/>
        <w:t xml:space="preserve">　　第四十条</w:t>
      </w:r>
      <w:r>
        <w:rPr>
          <w:rFonts w:ascii="仿宋" w:hAnsi="仿宋" w:cs="Arial" w:hint="eastAsia"/>
          <w:b/>
          <w:bCs/>
          <w:kern w:val="0"/>
          <w:sz w:val="28"/>
          <w:szCs w:val="28"/>
        </w:rPr>
        <w:t xml:space="preserve"> </w:t>
      </w:r>
      <w:r>
        <w:rPr>
          <w:rFonts w:ascii="仿宋" w:hAnsi="仿宋" w:cs="Arial" w:hint="eastAsia"/>
          <w:kern w:val="0"/>
          <w:sz w:val="28"/>
          <w:szCs w:val="28"/>
        </w:rPr>
        <w:t>项目承担单位应建立项目资金的绩效管理制度，明确项目整体绩效目标和阶段性绩效目标，并选择可衡量的绩效指标，对项目负责人开展定期跟踪监督，以及日常绩效目标运行跟踪管理。</w:t>
      </w:r>
    </w:p>
    <w:p w14:paraId="418B2CFD"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w:t>
      </w:r>
      <w:r>
        <w:rPr>
          <w:rFonts w:ascii="仿宋" w:hAnsi="仿宋" w:cs="Arial" w:hint="eastAsia"/>
          <w:b/>
          <w:bCs/>
          <w:kern w:val="0"/>
          <w:sz w:val="28"/>
          <w:szCs w:val="28"/>
        </w:rPr>
        <w:t xml:space="preserve">　第四十一条</w:t>
      </w:r>
      <w:r>
        <w:rPr>
          <w:rFonts w:ascii="仿宋" w:hAnsi="仿宋" w:cs="Arial" w:hint="eastAsia"/>
          <w:b/>
          <w:bCs/>
          <w:kern w:val="0"/>
          <w:sz w:val="28"/>
          <w:szCs w:val="28"/>
        </w:rPr>
        <w:t xml:space="preserve"> </w:t>
      </w:r>
      <w:r>
        <w:rPr>
          <w:rFonts w:ascii="仿宋" w:hAnsi="仿宋" w:cs="Arial" w:hint="eastAsia"/>
          <w:kern w:val="0"/>
          <w:sz w:val="28"/>
          <w:szCs w:val="28"/>
        </w:rPr>
        <w:t>省项目主管部门可委托项目管理专业机构或具有资质的第三方中介机构，严格依据任务书在项目实施期末进行一次性</w:t>
      </w:r>
      <w:r>
        <w:rPr>
          <w:rFonts w:ascii="仿宋" w:hAnsi="仿宋" w:cs="Arial" w:hint="eastAsia"/>
          <w:kern w:val="0"/>
          <w:sz w:val="28"/>
          <w:szCs w:val="28"/>
        </w:rPr>
        <w:t>综合绩效评价。</w:t>
      </w:r>
    </w:p>
    <w:p w14:paraId="1349C06E"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第四十二条</w:t>
      </w:r>
      <w:r>
        <w:rPr>
          <w:rFonts w:ascii="仿宋" w:hAnsi="仿宋" w:cs="Arial" w:hint="eastAsia"/>
          <w:b/>
          <w:bCs/>
          <w:kern w:val="0"/>
          <w:sz w:val="28"/>
          <w:szCs w:val="28"/>
        </w:rPr>
        <w:t xml:space="preserve"> </w:t>
      </w:r>
      <w:r>
        <w:rPr>
          <w:rFonts w:ascii="仿宋" w:hAnsi="仿宋" w:cs="Arial" w:hint="eastAsia"/>
          <w:kern w:val="0"/>
          <w:sz w:val="28"/>
          <w:szCs w:val="28"/>
        </w:rPr>
        <w:t>绩效评价结果作为项目调整、后续支持的重要依据，以及对相关研发、管理人员和项目承担单位、项目管理专业机构业绩考核的参考依据。</w:t>
      </w:r>
    </w:p>
    <w:p w14:paraId="0F67E7A6"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项目承担单位在评定职称、制定收入分配制度等工作中，应注重运用科研项目绩效评价结果。</w:t>
      </w:r>
    </w:p>
    <w:p w14:paraId="202E7AD0"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合理</w:t>
      </w:r>
      <w:proofErr w:type="gramStart"/>
      <w:r>
        <w:rPr>
          <w:rFonts w:ascii="仿宋" w:hAnsi="仿宋" w:cs="Arial" w:hint="eastAsia"/>
          <w:kern w:val="0"/>
          <w:sz w:val="28"/>
          <w:szCs w:val="28"/>
        </w:rPr>
        <w:t>区分因</w:t>
      </w:r>
      <w:proofErr w:type="gramEnd"/>
      <w:r>
        <w:rPr>
          <w:rFonts w:ascii="仿宋" w:hAnsi="仿宋" w:cs="Arial" w:hint="eastAsia"/>
          <w:kern w:val="0"/>
          <w:sz w:val="28"/>
          <w:szCs w:val="28"/>
        </w:rPr>
        <w:t>科研不确定性未能完成项目目标和因科研态度不端导致项目失败，鼓励大胆创新，严惩弄虚作假。</w:t>
      </w:r>
    </w:p>
    <w:p w14:paraId="322A372F" w14:textId="77777777" w:rsidR="00143E6C" w:rsidRDefault="00B15C9C">
      <w:pPr>
        <w:widowControl/>
        <w:shd w:val="clear" w:color="auto" w:fill="FFFFFF"/>
        <w:adjustRightInd w:val="0"/>
        <w:snapToGrid w:val="0"/>
        <w:spacing w:line="360" w:lineRule="auto"/>
        <w:ind w:left="41" w:right="41"/>
        <w:jc w:val="center"/>
        <w:rPr>
          <w:rFonts w:ascii="仿宋" w:hAnsi="仿宋" w:cs="Arial"/>
          <w:kern w:val="0"/>
          <w:sz w:val="28"/>
          <w:szCs w:val="28"/>
        </w:rPr>
      </w:pPr>
      <w:r>
        <w:rPr>
          <w:rFonts w:ascii="仿宋" w:hAnsi="仿宋" w:cs="Arial" w:hint="eastAsia"/>
          <w:b/>
          <w:bCs/>
          <w:kern w:val="0"/>
          <w:sz w:val="28"/>
          <w:szCs w:val="28"/>
        </w:rPr>
        <w:t>第八章　附　则</w:t>
      </w:r>
    </w:p>
    <w:p w14:paraId="1893D3B4"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第四十三条</w:t>
      </w:r>
      <w:r>
        <w:rPr>
          <w:rFonts w:ascii="仿宋" w:hAnsi="仿宋" w:cs="Arial" w:hint="eastAsia"/>
          <w:b/>
          <w:bCs/>
          <w:kern w:val="0"/>
          <w:sz w:val="28"/>
          <w:szCs w:val="28"/>
        </w:rPr>
        <w:t xml:space="preserve"> </w:t>
      </w:r>
      <w:r>
        <w:rPr>
          <w:rFonts w:ascii="仿宋" w:hAnsi="仿宋" w:cs="Arial" w:hint="eastAsia"/>
          <w:kern w:val="0"/>
          <w:sz w:val="28"/>
          <w:szCs w:val="28"/>
        </w:rPr>
        <w:t>本办法由省财政厅、审计厅负责解释。</w:t>
      </w:r>
    </w:p>
    <w:p w14:paraId="7A2D5AC2"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第四十四条</w:t>
      </w:r>
      <w:r>
        <w:rPr>
          <w:rFonts w:ascii="仿宋" w:hAnsi="仿宋" w:cs="Arial" w:hint="eastAsia"/>
          <w:b/>
          <w:bCs/>
          <w:kern w:val="0"/>
          <w:sz w:val="28"/>
          <w:szCs w:val="28"/>
        </w:rPr>
        <w:t xml:space="preserve"> </w:t>
      </w:r>
      <w:r>
        <w:rPr>
          <w:rFonts w:ascii="仿宋" w:hAnsi="仿宋" w:cs="Arial" w:hint="eastAsia"/>
          <w:kern w:val="0"/>
          <w:sz w:val="28"/>
          <w:szCs w:val="28"/>
        </w:rPr>
        <w:t>在本办法印发前立项、尚在实施期内的科研项目，可按本办法执行。社会科学类科研项目按照</w:t>
      </w:r>
      <w:r>
        <w:rPr>
          <w:rFonts w:ascii="仿宋" w:hAnsi="仿宋" w:cs="Arial" w:hint="eastAsia"/>
          <w:kern w:val="0"/>
          <w:sz w:val="28"/>
          <w:szCs w:val="28"/>
        </w:rPr>
        <w:t>《广东省财政厅关于省级财政社会科学研究项目资金的管理办法》（粤财</w:t>
      </w:r>
      <w:proofErr w:type="gramStart"/>
      <w:r>
        <w:rPr>
          <w:rFonts w:ascii="仿宋" w:hAnsi="仿宋" w:cs="Arial" w:hint="eastAsia"/>
          <w:kern w:val="0"/>
          <w:sz w:val="28"/>
          <w:szCs w:val="28"/>
        </w:rPr>
        <w:t>规</w:t>
      </w:r>
      <w:proofErr w:type="gramEnd"/>
      <w:r>
        <w:rPr>
          <w:rFonts w:ascii="仿宋" w:hAnsi="仿宋" w:cs="Arial" w:hint="eastAsia"/>
          <w:kern w:val="0"/>
          <w:sz w:val="28"/>
          <w:szCs w:val="28"/>
        </w:rPr>
        <w:t>〔</w:t>
      </w:r>
      <w:r>
        <w:rPr>
          <w:rFonts w:ascii="仿宋" w:hAnsi="仿宋" w:cs="Arial" w:hint="eastAsia"/>
          <w:kern w:val="0"/>
          <w:sz w:val="28"/>
          <w:szCs w:val="28"/>
        </w:rPr>
        <w:t>2018</w:t>
      </w:r>
      <w:r>
        <w:rPr>
          <w:rFonts w:ascii="仿宋" w:hAnsi="仿宋" w:cs="Arial" w:hint="eastAsia"/>
          <w:kern w:val="0"/>
          <w:sz w:val="28"/>
          <w:szCs w:val="28"/>
        </w:rPr>
        <w:t>〕</w:t>
      </w:r>
      <w:r>
        <w:rPr>
          <w:rFonts w:ascii="仿宋" w:hAnsi="仿宋" w:cs="Arial" w:hint="eastAsia"/>
          <w:kern w:val="0"/>
          <w:sz w:val="28"/>
          <w:szCs w:val="28"/>
        </w:rPr>
        <w:t>1</w:t>
      </w:r>
      <w:r>
        <w:rPr>
          <w:rFonts w:ascii="仿宋" w:hAnsi="仿宋" w:cs="Arial" w:hint="eastAsia"/>
          <w:kern w:val="0"/>
          <w:sz w:val="28"/>
          <w:szCs w:val="28"/>
        </w:rPr>
        <w:t>号）执行。</w:t>
      </w:r>
    </w:p>
    <w:p w14:paraId="38FFB16C"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b/>
          <w:bCs/>
          <w:kern w:val="0"/>
          <w:sz w:val="28"/>
          <w:szCs w:val="28"/>
        </w:rPr>
        <w:t xml:space="preserve">　　第四十五条</w:t>
      </w:r>
      <w:r>
        <w:rPr>
          <w:rFonts w:ascii="仿宋" w:hAnsi="仿宋" w:cs="Arial" w:hint="eastAsia"/>
          <w:kern w:val="0"/>
          <w:sz w:val="28"/>
          <w:szCs w:val="28"/>
        </w:rPr>
        <w:t xml:space="preserve"> </w:t>
      </w:r>
      <w:r>
        <w:rPr>
          <w:rFonts w:ascii="仿宋" w:hAnsi="仿宋" w:cs="Arial" w:hint="eastAsia"/>
          <w:kern w:val="0"/>
          <w:sz w:val="28"/>
          <w:szCs w:val="28"/>
        </w:rPr>
        <w:t>本办法自</w:t>
      </w:r>
      <w:r>
        <w:rPr>
          <w:rFonts w:ascii="仿宋" w:hAnsi="仿宋" w:cs="Arial" w:hint="eastAsia"/>
          <w:kern w:val="0"/>
          <w:sz w:val="28"/>
          <w:szCs w:val="28"/>
        </w:rPr>
        <w:t>2019</w:t>
      </w:r>
      <w:r>
        <w:rPr>
          <w:rFonts w:ascii="仿宋" w:hAnsi="仿宋" w:cs="Arial" w:hint="eastAsia"/>
          <w:kern w:val="0"/>
          <w:sz w:val="28"/>
          <w:szCs w:val="28"/>
        </w:rPr>
        <w:t>年</w:t>
      </w:r>
      <w:r>
        <w:rPr>
          <w:rFonts w:ascii="仿宋" w:hAnsi="仿宋" w:cs="Arial" w:hint="eastAsia"/>
          <w:kern w:val="0"/>
          <w:sz w:val="28"/>
          <w:szCs w:val="28"/>
        </w:rPr>
        <w:t>7</w:t>
      </w:r>
      <w:r>
        <w:rPr>
          <w:rFonts w:ascii="仿宋" w:hAnsi="仿宋" w:cs="Arial" w:hint="eastAsia"/>
          <w:kern w:val="0"/>
          <w:sz w:val="28"/>
          <w:szCs w:val="28"/>
        </w:rPr>
        <w:t>月</w:t>
      </w:r>
      <w:r>
        <w:rPr>
          <w:rFonts w:ascii="仿宋" w:hAnsi="仿宋" w:cs="Arial" w:hint="eastAsia"/>
          <w:kern w:val="0"/>
          <w:sz w:val="28"/>
          <w:szCs w:val="28"/>
        </w:rPr>
        <w:t>5</w:t>
      </w:r>
      <w:r>
        <w:rPr>
          <w:rFonts w:ascii="仿宋" w:hAnsi="仿宋" w:cs="Arial" w:hint="eastAsia"/>
          <w:kern w:val="0"/>
          <w:sz w:val="28"/>
          <w:szCs w:val="28"/>
        </w:rPr>
        <w:t>日起实施，有效期</w:t>
      </w:r>
      <w:r>
        <w:rPr>
          <w:rFonts w:ascii="仿宋" w:hAnsi="仿宋" w:cs="Arial" w:hint="eastAsia"/>
          <w:kern w:val="0"/>
          <w:sz w:val="28"/>
          <w:szCs w:val="28"/>
        </w:rPr>
        <w:t>3</w:t>
      </w:r>
      <w:r>
        <w:rPr>
          <w:rFonts w:ascii="仿宋" w:hAnsi="仿宋" w:cs="Arial" w:hint="eastAsia"/>
          <w:kern w:val="0"/>
          <w:sz w:val="28"/>
          <w:szCs w:val="28"/>
        </w:rPr>
        <w:t>年。《广东省财政厅关于印发〈关于省级财政科研项目资金拨付管理的暂行规定〉的通知》（</w:t>
      </w:r>
      <w:proofErr w:type="gramStart"/>
      <w:r>
        <w:rPr>
          <w:rFonts w:ascii="仿宋" w:hAnsi="仿宋" w:cs="Arial" w:hint="eastAsia"/>
          <w:kern w:val="0"/>
          <w:sz w:val="28"/>
          <w:szCs w:val="28"/>
        </w:rPr>
        <w:t>粤财教〔</w:t>
      </w:r>
      <w:r>
        <w:rPr>
          <w:rFonts w:ascii="仿宋" w:hAnsi="仿宋" w:cs="Arial" w:hint="eastAsia"/>
          <w:kern w:val="0"/>
          <w:sz w:val="28"/>
          <w:szCs w:val="28"/>
        </w:rPr>
        <w:t>2017</w:t>
      </w:r>
      <w:r>
        <w:rPr>
          <w:rFonts w:ascii="仿宋" w:hAnsi="仿宋" w:cs="Arial" w:hint="eastAsia"/>
          <w:kern w:val="0"/>
          <w:sz w:val="28"/>
          <w:szCs w:val="28"/>
        </w:rPr>
        <w:t>〕</w:t>
      </w:r>
      <w:proofErr w:type="gramEnd"/>
      <w:r>
        <w:rPr>
          <w:rFonts w:ascii="仿宋" w:hAnsi="仿宋" w:cs="Arial" w:hint="eastAsia"/>
          <w:kern w:val="0"/>
          <w:sz w:val="28"/>
          <w:szCs w:val="28"/>
        </w:rPr>
        <w:t>503</w:t>
      </w:r>
      <w:r>
        <w:rPr>
          <w:rFonts w:ascii="仿宋" w:hAnsi="仿宋" w:cs="Arial" w:hint="eastAsia"/>
          <w:kern w:val="0"/>
          <w:sz w:val="28"/>
          <w:szCs w:val="28"/>
        </w:rPr>
        <w:t>号）同时废止。</w:t>
      </w:r>
    </w:p>
    <w:p w14:paraId="44465A45" w14:textId="77777777" w:rsidR="00143E6C" w:rsidRDefault="00B15C9C">
      <w:pPr>
        <w:widowControl/>
        <w:shd w:val="clear" w:color="auto" w:fill="FFFFFF"/>
        <w:adjustRightInd w:val="0"/>
        <w:snapToGrid w:val="0"/>
        <w:spacing w:line="360" w:lineRule="auto"/>
        <w:ind w:left="41" w:right="41"/>
        <w:jc w:val="left"/>
        <w:rPr>
          <w:rFonts w:ascii="仿宋" w:hAnsi="仿宋" w:cs="Arial"/>
          <w:kern w:val="0"/>
          <w:sz w:val="28"/>
          <w:szCs w:val="28"/>
        </w:rPr>
      </w:pPr>
      <w:r>
        <w:rPr>
          <w:rFonts w:ascii="仿宋" w:hAnsi="仿宋" w:cs="Arial" w:hint="eastAsia"/>
          <w:kern w:val="0"/>
          <w:sz w:val="28"/>
          <w:szCs w:val="28"/>
        </w:rPr>
        <w:t xml:space="preserve">　　附件：省级财政科研项目资金管理执行流程图</w:t>
      </w:r>
    </w:p>
    <w:p w14:paraId="5A01E155" w14:textId="77777777" w:rsidR="00143E6C" w:rsidRDefault="00143E6C">
      <w:pPr>
        <w:widowControl/>
        <w:shd w:val="clear" w:color="auto" w:fill="FFFFFF"/>
        <w:spacing w:after="204" w:line="489" w:lineRule="atLeast"/>
        <w:ind w:left="41" w:right="41"/>
        <w:jc w:val="left"/>
        <w:rPr>
          <w:rFonts w:ascii="微软雅黑" w:eastAsia="微软雅黑" w:hAnsi="微软雅黑" w:cs="Arial"/>
          <w:kern w:val="0"/>
          <w:sz w:val="28"/>
          <w:szCs w:val="28"/>
        </w:rPr>
      </w:pPr>
    </w:p>
    <w:p w14:paraId="152E52AC" w14:textId="77777777" w:rsidR="00143E6C" w:rsidRDefault="00B15C9C">
      <w:pPr>
        <w:rPr>
          <w:sz w:val="28"/>
          <w:szCs w:val="28"/>
        </w:rPr>
      </w:pPr>
      <w:r>
        <w:rPr>
          <w:rFonts w:ascii="微软雅黑" w:eastAsia="微软雅黑" w:hAnsi="微软雅黑" w:cs="Arial"/>
          <w:noProof/>
          <w:kern w:val="0"/>
          <w:sz w:val="28"/>
          <w:szCs w:val="28"/>
        </w:rPr>
        <w:lastRenderedPageBreak/>
        <w:drawing>
          <wp:inline distT="0" distB="0" distL="0" distR="0" wp14:anchorId="2D264D54" wp14:editId="317155E0">
            <wp:extent cx="5010785" cy="6480810"/>
            <wp:effectExtent l="0" t="0" r="18415" b="15240"/>
            <wp:docPr id="2" name="图片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jpg"/>
                    <pic:cNvPicPr>
                      <a:picLocks noChangeAspect="1" noChangeArrowheads="1"/>
                    </pic:cNvPicPr>
                  </pic:nvPicPr>
                  <pic:blipFill>
                    <a:blip r:embed="rId5"/>
                    <a:srcRect/>
                    <a:stretch>
                      <a:fillRect/>
                    </a:stretch>
                  </pic:blipFill>
                  <pic:spPr>
                    <a:xfrm>
                      <a:off x="0" y="0"/>
                      <a:ext cx="5011312" cy="6481237"/>
                    </a:xfrm>
                    <a:prstGeom prst="rect">
                      <a:avLst/>
                    </a:prstGeom>
                    <a:noFill/>
                    <a:ln w="9525">
                      <a:noFill/>
                      <a:miter lim="800000"/>
                      <a:headEnd/>
                      <a:tailEnd/>
                    </a:ln>
                  </pic:spPr>
                </pic:pic>
              </a:graphicData>
            </a:graphic>
          </wp:inline>
        </w:drawing>
      </w:r>
      <w:r>
        <w:rPr>
          <w:rFonts w:ascii="微软雅黑" w:eastAsia="微软雅黑" w:hAnsi="微软雅黑" w:cs="Arial"/>
          <w:noProof/>
          <w:kern w:val="0"/>
          <w:sz w:val="28"/>
          <w:szCs w:val="28"/>
        </w:rPr>
        <w:lastRenderedPageBreak/>
        <w:drawing>
          <wp:inline distT="0" distB="0" distL="0" distR="0" wp14:anchorId="63F83B5A" wp14:editId="4509E8C0">
            <wp:extent cx="5607050" cy="8134985"/>
            <wp:effectExtent l="0" t="0" r="12700" b="18415"/>
            <wp:docPr id="3" name="图片 3"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jpg"/>
                    <pic:cNvPicPr>
                      <a:picLocks noChangeAspect="1" noChangeArrowheads="1"/>
                    </pic:cNvPicPr>
                  </pic:nvPicPr>
                  <pic:blipFill>
                    <a:blip r:embed="rId6"/>
                    <a:srcRect/>
                    <a:stretch>
                      <a:fillRect/>
                    </a:stretch>
                  </pic:blipFill>
                  <pic:spPr>
                    <a:xfrm>
                      <a:off x="0" y="0"/>
                      <a:ext cx="5607050" cy="8134985"/>
                    </a:xfrm>
                    <a:prstGeom prst="rect">
                      <a:avLst/>
                    </a:prstGeom>
                    <a:noFill/>
                    <a:ln w="9525">
                      <a:noFill/>
                      <a:miter lim="800000"/>
                      <a:headEnd/>
                      <a:tailEnd/>
                    </a:ln>
                  </pic:spPr>
                </pic:pic>
              </a:graphicData>
            </a:graphic>
          </wp:inline>
        </w:drawing>
      </w:r>
      <w:r>
        <w:rPr>
          <w:rFonts w:ascii="微软雅黑" w:eastAsia="微软雅黑" w:hAnsi="微软雅黑" w:cs="Arial"/>
          <w:noProof/>
          <w:kern w:val="0"/>
          <w:sz w:val="28"/>
          <w:szCs w:val="28"/>
        </w:rPr>
        <w:lastRenderedPageBreak/>
        <w:drawing>
          <wp:inline distT="0" distB="0" distL="0" distR="0" wp14:anchorId="2832EDA9" wp14:editId="44D4330D">
            <wp:extent cx="5917565" cy="8272780"/>
            <wp:effectExtent l="0" t="0" r="6985" b="13970"/>
            <wp:docPr id="4" name="图片 4"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jpg"/>
                    <pic:cNvPicPr>
                      <a:picLocks noChangeAspect="1" noChangeArrowheads="1"/>
                    </pic:cNvPicPr>
                  </pic:nvPicPr>
                  <pic:blipFill>
                    <a:blip r:embed="rId7"/>
                    <a:srcRect/>
                    <a:stretch>
                      <a:fillRect/>
                    </a:stretch>
                  </pic:blipFill>
                  <pic:spPr>
                    <a:xfrm>
                      <a:off x="0" y="0"/>
                      <a:ext cx="5917565" cy="8272780"/>
                    </a:xfrm>
                    <a:prstGeom prst="rect">
                      <a:avLst/>
                    </a:prstGeom>
                    <a:noFill/>
                    <a:ln w="9525">
                      <a:noFill/>
                      <a:miter lim="800000"/>
                      <a:headEnd/>
                      <a:tailEnd/>
                    </a:ln>
                  </pic:spPr>
                </pic:pic>
              </a:graphicData>
            </a:graphic>
          </wp:inline>
        </w:drawing>
      </w:r>
      <w:bookmarkStart w:id="1" w:name="_GoBack"/>
      <w:r>
        <w:rPr>
          <w:rFonts w:ascii="微软雅黑" w:eastAsia="微软雅黑" w:hAnsi="微软雅黑" w:cs="Arial"/>
          <w:noProof/>
          <w:kern w:val="0"/>
          <w:sz w:val="28"/>
          <w:szCs w:val="28"/>
        </w:rPr>
        <w:lastRenderedPageBreak/>
        <w:drawing>
          <wp:inline distT="0" distB="0" distL="0" distR="0" wp14:anchorId="1BB75E94" wp14:editId="64B419F9">
            <wp:extent cx="5624195" cy="8298815"/>
            <wp:effectExtent l="0" t="0" r="14605" b="6985"/>
            <wp:docPr id="5" name="图片 5"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jpg"/>
                    <pic:cNvPicPr>
                      <a:picLocks noChangeAspect="1" noChangeArrowheads="1"/>
                    </pic:cNvPicPr>
                  </pic:nvPicPr>
                  <pic:blipFill>
                    <a:blip r:embed="rId8"/>
                    <a:srcRect/>
                    <a:stretch>
                      <a:fillRect/>
                    </a:stretch>
                  </pic:blipFill>
                  <pic:spPr>
                    <a:xfrm>
                      <a:off x="0" y="0"/>
                      <a:ext cx="5624195" cy="8298815"/>
                    </a:xfrm>
                    <a:prstGeom prst="rect">
                      <a:avLst/>
                    </a:prstGeom>
                    <a:noFill/>
                    <a:ln w="9525">
                      <a:noFill/>
                      <a:miter lim="800000"/>
                      <a:headEnd/>
                      <a:tailEnd/>
                    </a:ln>
                  </pic:spPr>
                </pic:pic>
              </a:graphicData>
            </a:graphic>
          </wp:inline>
        </w:drawing>
      </w:r>
      <w:bookmarkEnd w:id="1"/>
    </w:p>
    <w:sectPr w:rsidR="00143E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8C04182"/>
    <w:rsid w:val="00143E6C"/>
    <w:rsid w:val="00B15C9C"/>
    <w:rsid w:val="07CB4378"/>
    <w:rsid w:val="18C04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8C6B39"/>
  <w15:docId w15:val="{F6B7C96B-2ACE-4D9A-BE56-68DA4609C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
      <w:kern w:val="2"/>
      <w:sz w:val="24"/>
      <w:szCs w:val="22"/>
    </w:rPr>
  </w:style>
  <w:style w:type="paragraph" w:styleId="1">
    <w:name w:val="heading 1"/>
    <w:basedOn w:val="a"/>
    <w:next w:val="a"/>
    <w:uiPriority w:val="9"/>
    <w:qFormat/>
    <w:pPr>
      <w:widowControl/>
      <w:spacing w:before="100" w:beforeAutospacing="1" w:after="100" w:afterAutospacing="1"/>
      <w:jc w:val="left"/>
      <w:outlineLvl w:val="0"/>
    </w:pPr>
    <w:rPr>
      <w:rFonts w:ascii="宋体" w:hAnsi="宋体" w:cs="宋体"/>
      <w:b/>
      <w:bCs/>
      <w:kern w:val="36"/>
      <w:sz w:val="2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1332</Words>
  <Characters>7595</Characters>
  <Application>Microsoft Office Word</Application>
  <DocSecurity>0</DocSecurity>
  <Lines>63</Lines>
  <Paragraphs>17</Paragraphs>
  <ScaleCrop>false</ScaleCrop>
  <Company/>
  <LinksUpToDate>false</LinksUpToDate>
  <CharactersWithSpaces>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周冠军</dc:creator>
  <cp:lastModifiedBy>黄享辉</cp:lastModifiedBy>
  <cp:revision>2</cp:revision>
  <dcterms:created xsi:type="dcterms:W3CDTF">2019-06-27T07:31:00Z</dcterms:created>
  <dcterms:modified xsi:type="dcterms:W3CDTF">2019-06-28T02:17:00Z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