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63E2C">
      <w:pPr>
        <w:jc w:val="center"/>
        <w:rPr>
          <w:rFonts w:hint="eastAsia"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项目需求书</w:t>
      </w:r>
    </w:p>
    <w:p w14:paraId="427BF80C"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项目说明</w:t>
      </w:r>
    </w:p>
    <w:p w14:paraId="28E7CAF0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开发内容：</w:t>
      </w:r>
    </w:p>
    <w:tbl>
      <w:tblPr>
        <w:tblStyle w:val="5"/>
        <w:tblW w:w="10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40"/>
        <w:gridCol w:w="5518"/>
        <w:gridCol w:w="875"/>
        <w:gridCol w:w="813"/>
        <w:gridCol w:w="1231"/>
      </w:tblGrid>
      <w:tr w14:paraId="2AB00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Align w:val="center"/>
          </w:tcPr>
          <w:p w14:paraId="5F612636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序号</w:t>
            </w:r>
          </w:p>
        </w:tc>
        <w:tc>
          <w:tcPr>
            <w:tcW w:w="1440" w:type="dxa"/>
            <w:vAlign w:val="center"/>
          </w:tcPr>
          <w:p w14:paraId="2D03DB5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项目内容</w:t>
            </w:r>
          </w:p>
        </w:tc>
        <w:tc>
          <w:tcPr>
            <w:tcW w:w="5518" w:type="dxa"/>
            <w:vAlign w:val="center"/>
          </w:tcPr>
          <w:p w14:paraId="08020D1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★交货期</w:t>
            </w:r>
          </w:p>
        </w:tc>
        <w:tc>
          <w:tcPr>
            <w:tcW w:w="875" w:type="dxa"/>
            <w:vAlign w:val="center"/>
          </w:tcPr>
          <w:p w14:paraId="51BC2010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单位</w:t>
            </w:r>
          </w:p>
        </w:tc>
        <w:tc>
          <w:tcPr>
            <w:tcW w:w="813" w:type="dxa"/>
            <w:vAlign w:val="center"/>
          </w:tcPr>
          <w:p w14:paraId="3926E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数量</w:t>
            </w:r>
          </w:p>
        </w:tc>
        <w:tc>
          <w:tcPr>
            <w:tcW w:w="1231" w:type="dxa"/>
            <w:vAlign w:val="center"/>
          </w:tcPr>
          <w:p w14:paraId="2544A57C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bookmarkStart w:id="0" w:name="_Hlk62807223"/>
            <w:r>
              <w:rPr>
                <w:rFonts w:hint="eastAsia" w:ascii="仿宋" w:hAnsi="仿宋" w:eastAsia="仿宋"/>
                <w:bCs/>
                <w:sz w:val="24"/>
              </w:rPr>
              <w:t>项目预算</w:t>
            </w:r>
            <w:bookmarkEnd w:id="0"/>
          </w:p>
          <w:p w14:paraId="558D5984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（万元）</w:t>
            </w:r>
          </w:p>
        </w:tc>
      </w:tr>
      <w:tr w14:paraId="40EE4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704" w:type="dxa"/>
            <w:vAlign w:val="center"/>
          </w:tcPr>
          <w:p w14:paraId="3D9B4466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1</w:t>
            </w:r>
          </w:p>
        </w:tc>
        <w:tc>
          <w:tcPr>
            <w:tcW w:w="1440" w:type="dxa"/>
            <w:vAlign w:val="center"/>
          </w:tcPr>
          <w:p w14:paraId="089BD1C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AI教研智创知识资产一体化平台</w:t>
            </w:r>
          </w:p>
        </w:tc>
        <w:tc>
          <w:tcPr>
            <w:tcW w:w="5518" w:type="dxa"/>
            <w:vAlign w:val="center"/>
          </w:tcPr>
          <w:p w14:paraId="5CCC69A8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合同签订生效后6个月内完成全域业务需求调研、全链路系统架构设计、全模块功能开发、集成联调、压力性能测试并上线试运行；若遇政策调整、第三方接口限制、机房硬件改造等不可抗力因素，供需双方友好协商顺延交付周期。</w:t>
            </w:r>
          </w:p>
        </w:tc>
        <w:tc>
          <w:tcPr>
            <w:tcW w:w="875" w:type="dxa"/>
            <w:vAlign w:val="center"/>
          </w:tcPr>
          <w:p w14:paraId="28FE371C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项</w:t>
            </w:r>
          </w:p>
        </w:tc>
        <w:tc>
          <w:tcPr>
            <w:tcW w:w="813" w:type="dxa"/>
            <w:vAlign w:val="center"/>
          </w:tcPr>
          <w:p w14:paraId="3B95084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1</w:t>
            </w:r>
          </w:p>
        </w:tc>
        <w:tc>
          <w:tcPr>
            <w:tcW w:w="1231" w:type="dxa"/>
            <w:vAlign w:val="center"/>
          </w:tcPr>
          <w:p w14:paraId="5F6BAD90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7.5</w:t>
            </w:r>
          </w:p>
        </w:tc>
      </w:tr>
    </w:tbl>
    <w:p w14:paraId="111B0A1C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Times New Roman"/>
          <w:b/>
          <w:bCs/>
          <w:kern w:val="44"/>
          <w:sz w:val="32"/>
          <w:szCs w:val="44"/>
        </w:rPr>
      </w:pPr>
    </w:p>
    <w:p w14:paraId="555F8A6B"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项目基本概况</w:t>
      </w:r>
    </w:p>
    <w:p w14:paraId="4345CAE6">
      <w:pPr>
        <w:tabs>
          <w:tab w:val="left" w:pos="420"/>
        </w:tabs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本项目为定制化 AI 教研智创知识资产一体化平台，深度内嵌于知行大先生一体化数字育人底座，面向校内教师打造轻量化教研创作中台，核心聚焦教师个人知识沉淀、AI 赋能内容高效创作、校本资源合规流通三大核心目标。</w:t>
      </w:r>
    </w:p>
    <w:p w14:paraId="2791ACE6">
      <w:pPr>
        <w:tabs>
          <w:tab w:val="left" w:pos="420"/>
        </w:tabs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围绕以教师个人科研知识长期沉淀为底层核心，统一收纳教师积累的学术文献、实验原始数据、教材书稿、论文草稿、课题申报材料等私有资料；搭建完整的素材入库、知识治理、向量检索、AI 生成业务链路，一站式支撑校本教材编撰、学术论文撰写、科研课题研究、日常教学备课四大核心工作场景，依托自有知识库实现文稿高效产出，大幅降低资料整理、长文本撰写成本。</w:t>
      </w:r>
    </w:p>
    <w:p w14:paraId="32DE2959">
      <w:pPr>
        <w:tabs>
          <w:tab w:val="left" w:pos="420"/>
        </w:tabs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平台搭建「个人私密知识库 + 校内公共科研资源库」双资产体系，配套分级权限管控保障未发表论文、原始实验数据等涉密内容安全；整体采用模块化可扩展架构，预留科研管理、教务、课程平台对接接口，配套全流程故障自检通道与专属运维服务，搭建适配高校教师科研、出书、论文产出的垂直智能创作体系。</w:t>
      </w:r>
      <w:bookmarkStart w:id="3" w:name="_GoBack"/>
      <w:bookmarkEnd w:id="3"/>
    </w:p>
    <w:p w14:paraId="0FE4F7E1">
      <w:pPr>
        <w:pStyle w:val="8"/>
        <w:spacing w:line="360" w:lineRule="auto"/>
        <w:outlineLvl w:val="0"/>
        <w:rPr>
          <w:rFonts w:hint="eastAsia" w:ascii="仿宋" w:hAnsi="仿宋" w:eastAsia="仿宋"/>
          <w:b/>
          <w:spacing w:val="0"/>
          <w:kern w:val="44"/>
          <w:sz w:val="32"/>
          <w:szCs w:val="44"/>
        </w:rPr>
      </w:pPr>
      <w:bookmarkStart w:id="1" w:name="_Toc14693"/>
      <w:bookmarkStart w:id="2" w:name="_Toc729"/>
      <w:r>
        <w:rPr>
          <w:rFonts w:hint="eastAsia" w:ascii="仿宋" w:hAnsi="仿宋" w:eastAsia="仿宋"/>
          <w:b/>
          <w:spacing w:val="0"/>
          <w:kern w:val="44"/>
          <w:sz w:val="32"/>
          <w:szCs w:val="44"/>
        </w:rPr>
        <w:t>三、系统需求</w:t>
      </w:r>
      <w:bookmarkEnd w:id="1"/>
      <w:bookmarkEnd w:id="2"/>
    </w:p>
    <w:tbl>
      <w:tblPr>
        <w:tblStyle w:val="5"/>
        <w:tblW w:w="10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40"/>
        <w:gridCol w:w="2387"/>
        <w:gridCol w:w="6050"/>
      </w:tblGrid>
      <w:tr w14:paraId="4BB4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61D3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BED2C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功能模块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6862E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功能列表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65A5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功能描述</w:t>
            </w:r>
          </w:p>
        </w:tc>
      </w:tr>
      <w:tr w14:paraId="6FE8F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905D26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527815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统一身份集成与平台接入模块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5B271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1.底座内嵌一体化接入架构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B79B6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深度集成知行大先生数字育人底座，实现账号、角色、权限体系全域打通，统一身份单点通行</w:t>
            </w:r>
            <w:r>
              <w:rPr>
                <w:rFonts w:hint="eastAsia" w:ascii="仿宋" w:hAnsi="仿宋" w:eastAsia="仿宋"/>
                <w:bCs/>
                <w:sz w:val="24"/>
              </w:rPr>
              <w:t>。</w:t>
            </w:r>
          </w:p>
        </w:tc>
      </w:tr>
      <w:tr w14:paraId="1B448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E7B9F0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D51C81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3656A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2.统一身份认证管理体系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68AB8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复用底座统一账号体系，全流程符合校园信息安全管理规范</w:t>
            </w:r>
            <w:r>
              <w:rPr>
                <w:rFonts w:hint="eastAsia" w:ascii="仿宋" w:hAnsi="仿宋" w:eastAsia="仿宋"/>
                <w:bCs/>
                <w:sz w:val="24"/>
              </w:rPr>
              <w:t>。</w:t>
            </w:r>
          </w:p>
        </w:tc>
      </w:tr>
      <w:tr w14:paraId="748F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441E5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0B5D3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C2C01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3.鉴权异常自动化处理机制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0FFB9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针对登录凭证失效、401鉴权失败、页面循环跳转等访问异常，提供标准化修复流程：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</w:t>
            </w:r>
          </w:p>
        </w:tc>
      </w:tr>
      <w:tr w14:paraId="2C70C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F666A4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CC6218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知识库资产管控模块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F54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1.个人私有知识库（教师专属私密科研存储空间）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65828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每位教师拥有独立加密私有知识库，完全围绕教师个人维度归集全部自有科研资产，无需拆分课程、班级维度；未完成书稿、待发表论文、原始实验数据、私有文献仅本人可见，长期积累形成专属科研素材底座，作为 AI 生成教材、论文、课题材料的专属数据源，支撑产出贴合自身研究方向的原创内容，实现科研知识持续复用迭代。</w:t>
            </w:r>
          </w:p>
        </w:tc>
      </w:tr>
      <w:tr w14:paraId="7CB14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0274AF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3517D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A0240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2.全校公共科研资源库（校内科研共享广场）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9911F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集中存储校内成熟校本教材范本、结题课题资料、公开发表教研论文、通用行业文献，科研团队、教研组可协同共建；仅科研负责人拥有素材入库、审核、修改权限，支持生成专属访问链接实现资源轻量化流转。</w:t>
            </w:r>
          </w:p>
        </w:tc>
      </w:tr>
      <w:tr w14:paraId="3C72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FAC4D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5D7426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D90B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3.知识库广场与全局检索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4F406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搭载全局模糊检索引擎，支持关键词快速定位知识库与教学素材。教师可按"全部资产/个人私有资产/全校公共资产"三大视图快速筛选。</w:t>
            </w:r>
          </w:p>
        </w:tc>
      </w:tr>
      <w:tr w14:paraId="18B29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11801B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3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6C347F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知识采集入库模块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6B7D1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1.多格式教学素材一键导入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69D70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支持 DOCX、PDF、PPT、XLSX、CAJ 文献、实验数据表、申报书等文件批量上传，单文件上限 50MB，无需人工分类归档，统一收录文献、实验记录、书稿片段、论文初稿、课题材料等各类科研素材。</w:t>
            </w:r>
          </w:p>
        </w:tc>
      </w:tr>
      <w:tr w14:paraId="6B44B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89B158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52C40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F5E53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2.教学素材自动理解与结构化解析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29680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文件上传后后台自动完成语义拆解，提取文献核心观点、实验数据结论、书稿关键知识点，将零散资料转化为结构化、可检索知识单元，自动归入教师个人私有知识池。</w:t>
            </w:r>
          </w:p>
        </w:tc>
      </w:tr>
      <w:tr w14:paraId="4A319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27D0D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042D9F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6F4B1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3.</w:t>
            </w:r>
            <w:r>
              <w:rPr>
                <w:rFonts w:hint="eastAsia" w:ascii="仿宋" w:hAnsi="仿宋" w:eastAsia="仿宋"/>
                <w:bCs/>
                <w:sz w:val="24"/>
              </w:rPr>
              <w:t>创作资产全生命周期运维操作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61287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提供素材下载、永久删除（删除前弹出风险二次确认弹窗）功能，设置快捷入口直达 AI 创作工作台、在线编辑器、资产总列表。</w:t>
            </w:r>
          </w:p>
        </w:tc>
      </w:tr>
      <w:tr w14:paraId="707A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7CC25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F973C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9B2EF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4.上传异常智能诊断提示模块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2685F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自动识别文件超限、格式不兼容、文件加密损坏、账号无编辑权限、网络波动等上传失败场景，输出清晰可执行提示。</w:t>
            </w:r>
          </w:p>
        </w:tc>
      </w:tr>
      <w:tr w14:paraId="10EC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275199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4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721840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知识库向量训练与 RAG 召回引擎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91589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1.教学素材自动向量化训练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AD578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依托RAG（检索增强生成）技术，对上传的</w:t>
            </w:r>
            <w:r>
              <w:rPr>
                <w:rFonts w:hint="eastAsia" w:ascii="仿宋" w:hAnsi="仿宋" w:eastAsia="仿宋"/>
                <w:bCs/>
                <w:sz w:val="24"/>
              </w:rPr>
              <w:t>文献、书稿、实验数据上传完成后自动执行向量编码，存入独立向量知识库；个人科研资产积累越丰富，AI 输出内容越贴合教师研究方向，素材入库即自动训练。</w:t>
            </w:r>
          </w:p>
        </w:tc>
      </w:tr>
      <w:tr w14:paraId="2CD1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B882B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3ACB8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D32E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2.</w:t>
            </w:r>
            <w:r>
              <w:rPr>
                <w:rFonts w:hint="eastAsia" w:ascii="仿宋" w:hAnsi="仿宋" w:eastAsia="仿宋"/>
                <w:bCs/>
                <w:sz w:val="24"/>
              </w:rPr>
              <w:t>素材向量召回剔除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3585C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撰写教材、论文、课题报告时，若 AI 召回过时文献、无关论点、错误实验数据，教师可一键移除对应向量片段，后续生成内容不再调用该类素材，持续优化学术文稿、教材内容的严谨性与精准度。</w:t>
            </w:r>
          </w:p>
        </w:tc>
      </w:tr>
      <w:tr w14:paraId="53576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F294D4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5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443BAA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AI 智能创作工作台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1E0DD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1.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24"/>
              </w:rPr>
              <w:t>知识库数据源自由切换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850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创作界面可单独选用个人私有库、公共资源库，或混合调取两类素材，页面顶部实时展示当前生效素材池，AI 生成内容仅依托所选库内资料，杜绝无关外部信息干扰。</w:t>
            </w:r>
          </w:p>
        </w:tc>
      </w:tr>
      <w:tr w14:paraId="09FF4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3CE23F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C07177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DAF41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2.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24"/>
              </w:rPr>
              <w:t>结构化 AI 生成能力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9FB5A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可视化指令输入面板自定义创作需求，分段实时输出可溯源完整文稿，核心科研出书类场景能力如下：</w:t>
            </w:r>
          </w:p>
          <w:p w14:paraId="0BEC9054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教材编撰场景：完整章节框架、知识点拆解、配套教学案例、章节习题、教材前言后记、实训配套内容；</w:t>
            </w:r>
          </w:p>
          <w:p w14:paraId="0D6997D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论文科研场景：文献综述梳理、研究框架搭建、实验数据分析、论文摘要与关键词、开题报告、中期成果、课题申报书、学术论点拓展；</w:t>
            </w:r>
          </w:p>
          <w:p w14:paraId="039BC5C8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依托教师自身沉淀的私有科研资产，快速产出匹配个人研究方向的教材、学术文稿，大幅压缩文献整理、长文本撰写周期。</w:t>
            </w:r>
          </w:p>
        </w:tc>
      </w:tr>
      <w:tr w14:paraId="01695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CA530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9E8DE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782F6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3.自定义备课快捷提示词管理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7EA04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内置教材编写、学术论文、课题申报、日常备课四大类标准化提示词模板；教师可自定义专属科研创作指令并保存至快捷栏，一键触发 AI 生成。</w:t>
            </w:r>
          </w:p>
        </w:tc>
      </w:tr>
      <w:tr w14:paraId="1D2A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085AFC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6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97462B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创作稿版本管理模块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BD60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1.版本历史与回溯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DE443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书稿、论文、课题文件与对应知识库隔离绑定存储，支持查看、任意历史版本，基于旧版本迭代优化内容</w:t>
            </w:r>
          </w:p>
        </w:tc>
      </w:tr>
      <w:tr w14:paraId="389AB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16850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B795C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BB663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2.一键新建创作项目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0A01A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支持一键新建空白创作项目，清空历史素材引用上下文，独立开展新教材、新论文、新课题的撰写工作，多份科研文稿互不干扰。</w:t>
            </w:r>
          </w:p>
        </w:tc>
      </w:tr>
      <w:tr w14:paraId="0602A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A0E850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7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FD14F0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标准化前端交互与软硬件适配底座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906CB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1.三分区标准化页面布局架构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657CA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采用中台通用分层页面设计规范，整体划分为左侧全局导航栏、中间素材库/创作稿管理操作区、底部AI内容创作指令交互区；创作专属页面细分AI生成展示区、富文本编辑区、快捷创作提示词操作栏、导出/保存功能快捷按钮组，界面层级清晰，创作操作路径统一，降低教师学习成本。</w:t>
            </w:r>
          </w:p>
        </w:tc>
      </w:tr>
      <w:tr w14:paraId="5F59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99636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4724D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1E843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2</w:t>
            </w:r>
            <w:r>
              <w:rPr>
                <w:rFonts w:ascii="仿宋" w:hAnsi="仿宋" w:eastAsia="仿宋"/>
                <w:bCs/>
                <w:sz w:val="24"/>
              </w:rPr>
              <w:t>.跨操作系统、多浏览器兼容适配层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82895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适配Windows10及以上、macOS10.14及以上主流操作系统；原生兼容GoogleChrome、MicrosoftEdge、Safari高性能浏览器；针对360等双核兼容浏览器提供极速模式适配指引，确保界面渲染、文件上传、向量训练、AI问答全功能无缺失</w:t>
            </w:r>
          </w:p>
        </w:tc>
      </w:tr>
      <w:tr w14:paraId="1196B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0B583E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8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44FEC5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知识资产共享与生态模块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E808A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1.公共知识库唯一分享链接生成服务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61814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面向公共共享知识库</w:t>
            </w:r>
            <w:r>
              <w:rPr>
                <w:rFonts w:hint="eastAsia" w:ascii="仿宋" w:hAnsi="仿宋" w:eastAsia="仿宋"/>
                <w:bCs/>
                <w:sz w:val="24"/>
              </w:rPr>
              <w:t>文件</w:t>
            </w:r>
            <w:r>
              <w:rPr>
                <w:rFonts w:ascii="仿宋" w:hAnsi="仿宋" w:eastAsia="仿宋"/>
                <w:bCs/>
                <w:sz w:val="24"/>
              </w:rPr>
              <w:t>生成独立专属访问链接，授权师生通过链接免检索快速进入查看文档</w:t>
            </w:r>
            <w:r>
              <w:rPr>
                <w:rFonts w:hint="eastAsia" w:ascii="仿宋" w:hAnsi="仿宋" w:eastAsia="仿宋"/>
                <w:bCs/>
                <w:sz w:val="24"/>
              </w:rPr>
              <w:t>和下载</w:t>
            </w:r>
            <w:r>
              <w:rPr>
                <w:rFonts w:ascii="仿宋" w:hAnsi="仿宋" w:eastAsia="仿宋"/>
                <w:bCs/>
                <w:sz w:val="24"/>
              </w:rPr>
              <w:t>，实现教学资源轻量化、便捷化流转</w:t>
            </w:r>
          </w:p>
        </w:tc>
      </w:tr>
      <w:tr w14:paraId="560F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D92F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9B26EE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14A36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2.分享链接失效异常诊断机制</w:t>
            </w:r>
          </w:p>
        </w:tc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8B39C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>自动识别链接复制不全、链接访问周期过期、原创作资产已删除、账号无访问权限等链接失效场景，并输出对应清晰提示。</w:t>
            </w:r>
          </w:p>
        </w:tc>
      </w:tr>
    </w:tbl>
    <w:p w14:paraId="5C94E3C9">
      <w:pPr>
        <w:tabs>
          <w:tab w:val="left" w:pos="420"/>
        </w:tabs>
        <w:snapToGrid w:val="0"/>
        <w:spacing w:line="360" w:lineRule="auto"/>
        <w:jc w:val="left"/>
        <w:rPr>
          <w:rFonts w:hint="eastAsia" w:ascii="仿宋" w:hAnsi="仿宋" w:eastAsia="仿宋"/>
          <w:sz w:val="28"/>
          <w:szCs w:val="28"/>
        </w:rPr>
      </w:pPr>
    </w:p>
    <w:p w14:paraId="60C029B3">
      <w:pPr>
        <w:tabs>
          <w:tab w:val="left" w:pos="420"/>
        </w:tabs>
        <w:snapToGrid w:val="0"/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四、其他要求</w:t>
      </w:r>
    </w:p>
    <w:p w14:paraId="334152F1">
      <w:pPr>
        <w:tabs>
          <w:tab w:val="left" w:pos="420"/>
        </w:tabs>
        <w:snapToGrid w:val="0"/>
        <w:spacing w:line="360" w:lineRule="auto"/>
        <w:ind w:firstLine="562" w:firstLineChars="200"/>
        <w:jc w:val="lef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系统维护</w:t>
      </w:r>
    </w:p>
    <w:p w14:paraId="0C274E4C">
      <w:pPr>
        <w:tabs>
          <w:tab w:val="left" w:pos="420"/>
        </w:tabs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自系统上线试运行之日起提供1年技术支持，年度累计投入维护工作量不低于20个工作日，主要涵盖系统运行bug修复、平台功能运行稳定、平台响应速度及时，工作日内及时响应处理各类问题，保障平台全年稳定运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273BE2"/>
    <w:multiLevelType w:val="multilevel"/>
    <w:tmpl w:val="3D273BE2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DD"/>
    <w:rsid w:val="0001177F"/>
    <w:rsid w:val="00053659"/>
    <w:rsid w:val="000A4897"/>
    <w:rsid w:val="001D2197"/>
    <w:rsid w:val="002513DD"/>
    <w:rsid w:val="00300EBB"/>
    <w:rsid w:val="00361A6B"/>
    <w:rsid w:val="00380A54"/>
    <w:rsid w:val="003A7270"/>
    <w:rsid w:val="003F64E5"/>
    <w:rsid w:val="003F791F"/>
    <w:rsid w:val="004060E1"/>
    <w:rsid w:val="00413001"/>
    <w:rsid w:val="004A1CCA"/>
    <w:rsid w:val="005A6FF9"/>
    <w:rsid w:val="006C5E37"/>
    <w:rsid w:val="007247A7"/>
    <w:rsid w:val="007262EC"/>
    <w:rsid w:val="00766ED5"/>
    <w:rsid w:val="007760A8"/>
    <w:rsid w:val="007D3514"/>
    <w:rsid w:val="007F77B5"/>
    <w:rsid w:val="00826E8E"/>
    <w:rsid w:val="0088718F"/>
    <w:rsid w:val="00962155"/>
    <w:rsid w:val="00AB5353"/>
    <w:rsid w:val="00D5759D"/>
    <w:rsid w:val="00D75F27"/>
    <w:rsid w:val="00D97A0A"/>
    <w:rsid w:val="00DA07EE"/>
    <w:rsid w:val="00DA1D31"/>
    <w:rsid w:val="00E718B8"/>
    <w:rsid w:val="00E80F0F"/>
    <w:rsid w:val="00E865C0"/>
    <w:rsid w:val="00E9728F"/>
    <w:rsid w:val="00ED0874"/>
    <w:rsid w:val="00EE114D"/>
    <w:rsid w:val="00F225C8"/>
    <w:rsid w:val="00F55486"/>
    <w:rsid w:val="00F75D0B"/>
    <w:rsid w:val="00F83625"/>
    <w:rsid w:val="00F96DE0"/>
    <w:rsid w:val="00FD64AE"/>
    <w:rsid w:val="00FF5E75"/>
    <w:rsid w:val="2C0E7F24"/>
    <w:rsid w:val="332C11CE"/>
    <w:rsid w:val="334B4801"/>
    <w:rsid w:val="3ADB6274"/>
    <w:rsid w:val="3E497999"/>
    <w:rsid w:val="5E166D58"/>
    <w:rsid w:val="69BA3375"/>
    <w:rsid w:val="6B3233DF"/>
    <w:rsid w:val="6DCB1470"/>
    <w:rsid w:val="6F71354A"/>
    <w:rsid w:val="714C56C6"/>
    <w:rsid w:val="76870A83"/>
    <w:rsid w:val="76D6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表格文字"/>
    <w:basedOn w:val="1"/>
    <w:qFormat/>
    <w:uiPriority w:val="0"/>
    <w:pPr>
      <w:spacing w:before="25" w:after="25"/>
      <w:jc w:val="left"/>
    </w:pPr>
    <w:rPr>
      <w:rFonts w:ascii="Times New Roman" w:hAnsi="Times New Roman" w:eastAsia="宋体" w:cs="Times New Roman"/>
      <w:bCs/>
      <w:spacing w:val="10"/>
      <w:kern w:val="0"/>
      <w:sz w:val="24"/>
      <w:szCs w:val="20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3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2671</Words>
  <Characters>2780</Characters>
  <Lines>20</Lines>
  <Paragraphs>5</Paragraphs>
  <TotalTime>230</TotalTime>
  <ScaleCrop>false</ScaleCrop>
  <LinksUpToDate>false</LinksUpToDate>
  <CharactersWithSpaces>2807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2026-06-22T09:16:00Z</dcterms:created>
  <dc:creator>薛阳</dc:creator>
  <cp:lastModifiedBy>sunnyliu</cp:lastModifiedBy>
  <dcterms:modified xsi:type="dcterms:W3CDTF">2026-07-02T02:52:00Z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eyJoZGlkIjoiZTcyY2U0MDVhOTMwOTgxY2Q2OTA4MjZjYTRlZjcwZjIiLCJ1c2VySWQiOiIyMzQ2NTM1In0=</vt:lpwstr>
  </property>
  <property fmtid="{D5CDD505-2E9C-101B-9397-08002B2CF9AE}" pid="3" name="KSOProductBuildVer">
    <vt:lpwstr>2052-12.1.0.26895</vt:lpwstr>
  </property>
  <property fmtid="{D5CDD505-2E9C-101B-9397-08002B2CF9AE}" pid="4" name="ICV">
    <vt:lpwstr>336CC5FCAC204DB8A944C87DDE5DA5BA_12</vt:lpwstr>
  </property>
</Properties>
</file>